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83547" w14:textId="12B0E2FA" w:rsidR="00335BC0" w:rsidRDefault="001320FE" w:rsidP="00335BC0">
      <w:pPr>
        <w:pStyle w:val="Heading1"/>
        <w:jc w:val="center"/>
        <w:rPr>
          <w:lang w:val="en"/>
        </w:rPr>
      </w:pPr>
      <w:bookmarkStart w:id="0" w:name="_Toc212823910"/>
      <w:r w:rsidRPr="001320FE">
        <w:rPr>
          <w:lang w:val="en"/>
        </w:rPr>
        <w:t xml:space="preserve">POLICY </w:t>
      </w:r>
      <w:r>
        <w:rPr>
          <w:lang w:val="en"/>
        </w:rPr>
        <w:t>Recommendation:</w:t>
      </w:r>
    </w:p>
    <w:p w14:paraId="1495851F" w14:textId="1DFF3CB2" w:rsidR="001320FE" w:rsidRPr="001320FE" w:rsidRDefault="001320FE" w:rsidP="00335BC0">
      <w:pPr>
        <w:pStyle w:val="Heading1"/>
        <w:jc w:val="center"/>
        <w:rPr>
          <w:lang w:val="en"/>
        </w:rPr>
      </w:pPr>
      <w:r w:rsidRPr="001320FE">
        <w:rPr>
          <w:lang w:val="en"/>
        </w:rPr>
        <w:t>Establishing a Pan-European Higher Education and Adult Learning Ecosystem for Deep-Tech Predictive Maintenance in Manufacturing (</w:t>
      </w:r>
      <w:proofErr w:type="spellStart"/>
      <w:r w:rsidRPr="001320FE">
        <w:rPr>
          <w:lang w:val="en"/>
        </w:rPr>
        <w:t>PreVEnT</w:t>
      </w:r>
      <w:proofErr w:type="spellEnd"/>
      <w:r w:rsidRPr="001320FE">
        <w:rPr>
          <w:lang w:val="en"/>
        </w:rPr>
        <w:t>-Eco)</w:t>
      </w:r>
      <w:bookmarkEnd w:id="0"/>
    </w:p>
    <w:p w14:paraId="450000BB" w14:textId="77777777" w:rsidR="001320FE" w:rsidRDefault="001320FE" w:rsidP="001320FE">
      <w:pPr>
        <w:jc w:val="both"/>
        <w:rPr>
          <w:b/>
          <w:lang w:val="en"/>
        </w:rPr>
      </w:pPr>
    </w:p>
    <w:p w14:paraId="56DCEACE" w14:textId="77777777" w:rsidR="001320FE" w:rsidRDefault="001320FE" w:rsidP="001320FE">
      <w:pPr>
        <w:jc w:val="both"/>
        <w:rPr>
          <w:b/>
          <w:lang w:val="en"/>
        </w:rPr>
      </w:pPr>
      <w:bookmarkStart w:id="1" w:name="_613whyq3tq8u"/>
      <w:bookmarkStart w:id="2" w:name="_qfm44skjn0v2"/>
      <w:bookmarkEnd w:id="1"/>
      <w:bookmarkEnd w:id="2"/>
    </w:p>
    <w:p w14:paraId="5954D31B" w14:textId="783C4EC5" w:rsidR="001320FE" w:rsidRDefault="001320FE" w:rsidP="001320FE">
      <w:pPr>
        <w:jc w:val="both"/>
        <w:rPr>
          <w:b/>
          <w:lang w:val="en"/>
        </w:rPr>
      </w:pPr>
      <w:r>
        <w:rPr>
          <w:b/>
          <w:noProof/>
          <w:lang w:val="en"/>
        </w:rPr>
        <w:drawing>
          <wp:inline distT="0" distB="0" distL="0" distR="0" wp14:anchorId="60D1ACB8" wp14:editId="47772108">
            <wp:extent cx="5722620" cy="3002280"/>
            <wp:effectExtent l="0" t="0" r="0" b="7620"/>
            <wp:docPr id="611623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t="47537"/>
                    <a:stretch>
                      <a:fillRect/>
                    </a:stretch>
                  </pic:blipFill>
                  <pic:spPr bwMode="auto">
                    <a:xfrm>
                      <a:off x="0" y="0"/>
                      <a:ext cx="5722620" cy="3002280"/>
                    </a:xfrm>
                    <a:prstGeom prst="rect">
                      <a:avLst/>
                    </a:prstGeom>
                    <a:noFill/>
                    <a:ln>
                      <a:noFill/>
                    </a:ln>
                    <a:extLst>
                      <a:ext uri="{53640926-AAD7-44D8-BBD7-CCE9431645EC}">
                        <a14:shadowObscured xmlns:a14="http://schemas.microsoft.com/office/drawing/2010/main"/>
                      </a:ext>
                    </a:extLst>
                  </pic:spPr>
                </pic:pic>
              </a:graphicData>
            </a:graphic>
          </wp:inline>
        </w:drawing>
      </w:r>
    </w:p>
    <w:p w14:paraId="237684AB" w14:textId="77777777" w:rsidR="001320FE" w:rsidRDefault="001320FE" w:rsidP="001320FE">
      <w:pPr>
        <w:jc w:val="both"/>
        <w:rPr>
          <w:b/>
          <w:lang w:val="en"/>
        </w:rPr>
      </w:pPr>
    </w:p>
    <w:p w14:paraId="7D593970" w14:textId="77777777" w:rsidR="001320FE" w:rsidRDefault="001320FE" w:rsidP="001320FE">
      <w:pPr>
        <w:jc w:val="both"/>
        <w:rPr>
          <w:b/>
          <w:lang w:val="en"/>
        </w:rPr>
      </w:pPr>
    </w:p>
    <w:p w14:paraId="388B9C42"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October 31, 2025</w:t>
      </w:r>
    </w:p>
    <w:p w14:paraId="5EF6622C"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Authorship:</w:t>
      </w:r>
      <w:r w:rsidRPr="001320FE">
        <w:rPr>
          <w:rFonts w:ascii="Source Sans Pro" w:hAnsi="Source Sans Pro"/>
          <w:sz w:val="24"/>
          <w:szCs w:val="24"/>
          <w:lang w:val="en"/>
        </w:rPr>
        <w:t xml:space="preserve"> </w:t>
      </w:r>
      <w:proofErr w:type="spellStart"/>
      <w:r w:rsidRPr="00335BC0">
        <w:rPr>
          <w:rFonts w:ascii="Source Sans Pro" w:hAnsi="Source Sans Pro"/>
          <w:sz w:val="24"/>
          <w:szCs w:val="24"/>
          <w:lang w:val="en"/>
        </w:rPr>
        <w:t>Helixconnect</w:t>
      </w:r>
      <w:proofErr w:type="spellEnd"/>
      <w:r w:rsidRPr="00335BC0">
        <w:rPr>
          <w:rFonts w:ascii="Source Sans Pro" w:hAnsi="Source Sans Pro"/>
          <w:sz w:val="24"/>
          <w:szCs w:val="24"/>
          <w:lang w:val="en"/>
        </w:rPr>
        <w:t xml:space="preserve"> Europe</w:t>
      </w:r>
    </w:p>
    <w:sdt>
      <w:sdtPr>
        <w:id w:val="1202601849"/>
        <w:docPartObj>
          <w:docPartGallery w:val="Table of Contents"/>
          <w:docPartUnique/>
        </w:docPartObj>
      </w:sdtPr>
      <w:sdtEndPr>
        <w:rPr>
          <w:rFonts w:ascii="Calibri" w:eastAsia="Calibri" w:hAnsi="Calibri" w:cs="Arial"/>
          <w:noProof/>
          <w:color w:val="auto"/>
          <w:sz w:val="20"/>
          <w:szCs w:val="20"/>
        </w:rPr>
      </w:sdtEndPr>
      <w:sdtContent>
        <w:p w14:paraId="01FAB120" w14:textId="6523A757" w:rsidR="00F17B51" w:rsidRPr="00335BC0" w:rsidRDefault="00F17B51">
          <w:pPr>
            <w:pStyle w:val="TOCHeading"/>
            <w:rPr>
              <w:rFonts w:ascii="Source Sans Pro" w:hAnsi="Source Sans Pro"/>
              <w:sz w:val="32"/>
              <w:szCs w:val="32"/>
            </w:rPr>
          </w:pPr>
          <w:r w:rsidRPr="00335BC0">
            <w:rPr>
              <w:rFonts w:ascii="Source Sans Pro" w:hAnsi="Source Sans Pro"/>
              <w:sz w:val="32"/>
              <w:szCs w:val="32"/>
            </w:rPr>
            <w:t>Contents</w:t>
          </w:r>
        </w:p>
        <w:p w14:paraId="14F471CA" w14:textId="2967DC4B" w:rsidR="00F17B51" w:rsidRPr="00335BC0" w:rsidRDefault="00F17B51">
          <w:pPr>
            <w:pStyle w:val="TOC1"/>
            <w:tabs>
              <w:tab w:val="right" w:leader="dot" w:pos="9016"/>
            </w:tabs>
            <w:rPr>
              <w:rFonts w:ascii="Source Sans Pro" w:eastAsiaTheme="minorEastAsia" w:hAnsi="Source Sans Pro" w:cstheme="minorBidi"/>
              <w:b w:val="0"/>
              <w:bCs w:val="0"/>
              <w:caps w:val="0"/>
              <w:noProof/>
              <w:kern w:val="2"/>
              <w:sz w:val="22"/>
              <w:szCs w:val="22"/>
              <w:lang w:val="en-GB" w:eastAsia="en-GB"/>
              <w14:ligatures w14:val="standardContextual"/>
            </w:rPr>
          </w:pPr>
          <w:r w:rsidRPr="00335BC0">
            <w:rPr>
              <w:rFonts w:ascii="Source Sans Pro" w:hAnsi="Source Sans Pro"/>
              <w:b w:val="0"/>
              <w:bCs w:val="0"/>
              <w:sz w:val="22"/>
              <w:szCs w:val="22"/>
            </w:rPr>
            <w:fldChar w:fldCharType="begin"/>
          </w:r>
          <w:r w:rsidRPr="00335BC0">
            <w:rPr>
              <w:rFonts w:ascii="Source Sans Pro" w:hAnsi="Source Sans Pro"/>
              <w:b w:val="0"/>
              <w:bCs w:val="0"/>
              <w:sz w:val="22"/>
              <w:szCs w:val="22"/>
            </w:rPr>
            <w:instrText xml:space="preserve"> TOC \o "1-3" \h \z \u </w:instrText>
          </w:r>
          <w:r w:rsidRPr="00335BC0">
            <w:rPr>
              <w:rFonts w:ascii="Source Sans Pro" w:hAnsi="Source Sans Pro"/>
              <w:b w:val="0"/>
              <w:bCs w:val="0"/>
              <w:sz w:val="22"/>
              <w:szCs w:val="22"/>
            </w:rPr>
            <w:fldChar w:fldCharType="separate"/>
          </w:r>
        </w:p>
        <w:p w14:paraId="00BE16A6" w14:textId="4DC86E6F" w:rsidR="00F17B51" w:rsidRPr="00335BC0" w:rsidRDefault="00F17B51">
          <w:pPr>
            <w:pStyle w:val="TOC1"/>
            <w:tabs>
              <w:tab w:val="right" w:leader="dot" w:pos="9016"/>
            </w:tabs>
            <w:rPr>
              <w:rFonts w:ascii="Source Sans Pro" w:eastAsiaTheme="minorEastAsia" w:hAnsi="Source Sans Pro" w:cstheme="minorBidi"/>
              <w:b w:val="0"/>
              <w:bCs w:val="0"/>
              <w:caps w:val="0"/>
              <w:noProof/>
              <w:kern w:val="2"/>
              <w:sz w:val="22"/>
              <w:szCs w:val="22"/>
              <w:lang w:val="en-GB" w:eastAsia="en-GB"/>
              <w14:ligatures w14:val="standardContextual"/>
            </w:rPr>
          </w:pPr>
          <w:hyperlink w:anchor="_Toc212823911" w:history="1">
            <w:r w:rsidRPr="00335BC0">
              <w:rPr>
                <w:rStyle w:val="Hyperlink"/>
                <w:rFonts w:ascii="Source Sans Pro" w:hAnsi="Source Sans Pro"/>
                <w:b w:val="0"/>
                <w:bCs w:val="0"/>
                <w:noProof/>
                <w:sz w:val="22"/>
                <w:szCs w:val="22"/>
                <w:lang w:val="en"/>
              </w:rPr>
              <w:t>1. Executive Summary</w:t>
            </w:r>
            <w:r w:rsidRPr="00335BC0">
              <w:rPr>
                <w:rFonts w:ascii="Source Sans Pro" w:hAnsi="Source Sans Pro"/>
                <w:b w:val="0"/>
                <w:bCs w:val="0"/>
                <w:noProof/>
                <w:webHidden/>
                <w:sz w:val="22"/>
                <w:szCs w:val="22"/>
              </w:rPr>
              <w:tab/>
            </w:r>
            <w:r w:rsidRPr="00335BC0">
              <w:rPr>
                <w:rFonts w:ascii="Source Sans Pro" w:hAnsi="Source Sans Pro"/>
                <w:b w:val="0"/>
                <w:bCs w:val="0"/>
                <w:noProof/>
                <w:webHidden/>
                <w:sz w:val="22"/>
                <w:szCs w:val="22"/>
              </w:rPr>
              <w:fldChar w:fldCharType="begin"/>
            </w:r>
            <w:r w:rsidRPr="00335BC0">
              <w:rPr>
                <w:rFonts w:ascii="Source Sans Pro" w:hAnsi="Source Sans Pro"/>
                <w:b w:val="0"/>
                <w:bCs w:val="0"/>
                <w:noProof/>
                <w:webHidden/>
                <w:sz w:val="22"/>
                <w:szCs w:val="22"/>
              </w:rPr>
              <w:instrText xml:space="preserve"> PAGEREF _Toc212823911 \h </w:instrText>
            </w:r>
            <w:r w:rsidRPr="00335BC0">
              <w:rPr>
                <w:rFonts w:ascii="Source Sans Pro" w:hAnsi="Source Sans Pro"/>
                <w:b w:val="0"/>
                <w:bCs w:val="0"/>
                <w:noProof/>
                <w:webHidden/>
                <w:sz w:val="22"/>
                <w:szCs w:val="22"/>
              </w:rPr>
            </w:r>
            <w:r w:rsidRPr="00335BC0">
              <w:rPr>
                <w:rFonts w:ascii="Source Sans Pro" w:hAnsi="Source Sans Pro"/>
                <w:b w:val="0"/>
                <w:bCs w:val="0"/>
                <w:noProof/>
                <w:webHidden/>
                <w:sz w:val="22"/>
                <w:szCs w:val="22"/>
              </w:rPr>
              <w:fldChar w:fldCharType="separate"/>
            </w:r>
            <w:r w:rsidR="00683DBA">
              <w:rPr>
                <w:rFonts w:ascii="Source Sans Pro" w:hAnsi="Source Sans Pro"/>
                <w:b w:val="0"/>
                <w:bCs w:val="0"/>
                <w:noProof/>
                <w:webHidden/>
                <w:sz w:val="22"/>
                <w:szCs w:val="22"/>
              </w:rPr>
              <w:t>2</w:t>
            </w:r>
            <w:r w:rsidRPr="00335BC0">
              <w:rPr>
                <w:rFonts w:ascii="Source Sans Pro" w:hAnsi="Source Sans Pro"/>
                <w:b w:val="0"/>
                <w:bCs w:val="0"/>
                <w:noProof/>
                <w:webHidden/>
                <w:sz w:val="22"/>
                <w:szCs w:val="22"/>
              </w:rPr>
              <w:fldChar w:fldCharType="end"/>
            </w:r>
          </w:hyperlink>
        </w:p>
        <w:p w14:paraId="17777DA1" w14:textId="7FDFE672" w:rsidR="00F17B51" w:rsidRPr="00335BC0" w:rsidRDefault="00F17B51">
          <w:pPr>
            <w:pStyle w:val="TOC1"/>
            <w:tabs>
              <w:tab w:val="right" w:leader="dot" w:pos="9016"/>
            </w:tabs>
            <w:rPr>
              <w:rFonts w:ascii="Source Sans Pro" w:eastAsiaTheme="minorEastAsia" w:hAnsi="Source Sans Pro" w:cstheme="minorBidi"/>
              <w:b w:val="0"/>
              <w:bCs w:val="0"/>
              <w:caps w:val="0"/>
              <w:noProof/>
              <w:kern w:val="2"/>
              <w:sz w:val="22"/>
              <w:szCs w:val="22"/>
              <w:lang w:val="en-GB" w:eastAsia="en-GB"/>
              <w14:ligatures w14:val="standardContextual"/>
            </w:rPr>
          </w:pPr>
          <w:hyperlink w:anchor="_Toc212823912" w:history="1">
            <w:r w:rsidRPr="00335BC0">
              <w:rPr>
                <w:rStyle w:val="Hyperlink"/>
                <w:rFonts w:ascii="Source Sans Pro" w:hAnsi="Source Sans Pro"/>
                <w:b w:val="0"/>
                <w:bCs w:val="0"/>
                <w:noProof/>
                <w:sz w:val="22"/>
                <w:szCs w:val="22"/>
                <w:lang w:val="en"/>
              </w:rPr>
              <w:t>2. Policy Context and Justification</w:t>
            </w:r>
            <w:r w:rsidRPr="00335BC0">
              <w:rPr>
                <w:rFonts w:ascii="Source Sans Pro" w:hAnsi="Source Sans Pro"/>
                <w:b w:val="0"/>
                <w:bCs w:val="0"/>
                <w:noProof/>
                <w:webHidden/>
                <w:sz w:val="22"/>
                <w:szCs w:val="22"/>
              </w:rPr>
              <w:tab/>
            </w:r>
            <w:r w:rsidRPr="00335BC0">
              <w:rPr>
                <w:rFonts w:ascii="Source Sans Pro" w:hAnsi="Source Sans Pro"/>
                <w:b w:val="0"/>
                <w:bCs w:val="0"/>
                <w:noProof/>
                <w:webHidden/>
                <w:sz w:val="22"/>
                <w:szCs w:val="22"/>
              </w:rPr>
              <w:fldChar w:fldCharType="begin"/>
            </w:r>
            <w:r w:rsidRPr="00335BC0">
              <w:rPr>
                <w:rFonts w:ascii="Source Sans Pro" w:hAnsi="Source Sans Pro"/>
                <w:b w:val="0"/>
                <w:bCs w:val="0"/>
                <w:noProof/>
                <w:webHidden/>
                <w:sz w:val="22"/>
                <w:szCs w:val="22"/>
              </w:rPr>
              <w:instrText xml:space="preserve"> PAGEREF _Toc212823912 \h </w:instrText>
            </w:r>
            <w:r w:rsidRPr="00335BC0">
              <w:rPr>
                <w:rFonts w:ascii="Source Sans Pro" w:hAnsi="Source Sans Pro"/>
                <w:b w:val="0"/>
                <w:bCs w:val="0"/>
                <w:noProof/>
                <w:webHidden/>
                <w:sz w:val="22"/>
                <w:szCs w:val="22"/>
              </w:rPr>
            </w:r>
            <w:r w:rsidRPr="00335BC0">
              <w:rPr>
                <w:rFonts w:ascii="Source Sans Pro" w:hAnsi="Source Sans Pro"/>
                <w:b w:val="0"/>
                <w:bCs w:val="0"/>
                <w:noProof/>
                <w:webHidden/>
                <w:sz w:val="22"/>
                <w:szCs w:val="22"/>
              </w:rPr>
              <w:fldChar w:fldCharType="separate"/>
            </w:r>
            <w:r w:rsidR="00683DBA">
              <w:rPr>
                <w:rFonts w:ascii="Source Sans Pro" w:hAnsi="Source Sans Pro"/>
                <w:b w:val="0"/>
                <w:bCs w:val="0"/>
                <w:noProof/>
                <w:webHidden/>
                <w:sz w:val="22"/>
                <w:szCs w:val="22"/>
              </w:rPr>
              <w:t>3</w:t>
            </w:r>
            <w:r w:rsidRPr="00335BC0">
              <w:rPr>
                <w:rFonts w:ascii="Source Sans Pro" w:hAnsi="Source Sans Pro"/>
                <w:b w:val="0"/>
                <w:bCs w:val="0"/>
                <w:noProof/>
                <w:webHidden/>
                <w:sz w:val="22"/>
                <w:szCs w:val="22"/>
              </w:rPr>
              <w:fldChar w:fldCharType="end"/>
            </w:r>
          </w:hyperlink>
        </w:p>
        <w:p w14:paraId="5E1B3A1E" w14:textId="380C2A1E" w:rsidR="00F17B51" w:rsidRPr="00335BC0" w:rsidRDefault="00F17B51">
          <w:pPr>
            <w:pStyle w:val="TOC1"/>
            <w:tabs>
              <w:tab w:val="right" w:leader="dot" w:pos="9016"/>
            </w:tabs>
            <w:rPr>
              <w:rFonts w:ascii="Source Sans Pro" w:eastAsiaTheme="minorEastAsia" w:hAnsi="Source Sans Pro" w:cstheme="minorBidi"/>
              <w:b w:val="0"/>
              <w:bCs w:val="0"/>
              <w:caps w:val="0"/>
              <w:noProof/>
              <w:kern w:val="2"/>
              <w:sz w:val="22"/>
              <w:szCs w:val="22"/>
              <w:lang w:val="en-GB" w:eastAsia="en-GB"/>
              <w14:ligatures w14:val="standardContextual"/>
            </w:rPr>
          </w:pPr>
          <w:hyperlink w:anchor="_Toc212823913" w:history="1">
            <w:r w:rsidRPr="00335BC0">
              <w:rPr>
                <w:rStyle w:val="Hyperlink"/>
                <w:rFonts w:ascii="Source Sans Pro" w:hAnsi="Source Sans Pro"/>
                <w:b w:val="0"/>
                <w:bCs w:val="0"/>
                <w:noProof/>
                <w:sz w:val="22"/>
                <w:szCs w:val="22"/>
                <w:lang w:val="en"/>
              </w:rPr>
              <w:t>3. Policy Vision and Guiding Principles</w:t>
            </w:r>
            <w:r w:rsidRPr="00335BC0">
              <w:rPr>
                <w:rFonts w:ascii="Source Sans Pro" w:hAnsi="Source Sans Pro"/>
                <w:b w:val="0"/>
                <w:bCs w:val="0"/>
                <w:noProof/>
                <w:webHidden/>
                <w:sz w:val="22"/>
                <w:szCs w:val="22"/>
              </w:rPr>
              <w:tab/>
            </w:r>
            <w:r w:rsidRPr="00335BC0">
              <w:rPr>
                <w:rFonts w:ascii="Source Sans Pro" w:hAnsi="Source Sans Pro"/>
                <w:b w:val="0"/>
                <w:bCs w:val="0"/>
                <w:noProof/>
                <w:webHidden/>
                <w:sz w:val="22"/>
                <w:szCs w:val="22"/>
              </w:rPr>
              <w:fldChar w:fldCharType="begin"/>
            </w:r>
            <w:r w:rsidRPr="00335BC0">
              <w:rPr>
                <w:rFonts w:ascii="Source Sans Pro" w:hAnsi="Source Sans Pro"/>
                <w:b w:val="0"/>
                <w:bCs w:val="0"/>
                <w:noProof/>
                <w:webHidden/>
                <w:sz w:val="22"/>
                <w:szCs w:val="22"/>
              </w:rPr>
              <w:instrText xml:space="preserve"> PAGEREF _Toc212823913 \h </w:instrText>
            </w:r>
            <w:r w:rsidRPr="00335BC0">
              <w:rPr>
                <w:rFonts w:ascii="Source Sans Pro" w:hAnsi="Source Sans Pro"/>
                <w:b w:val="0"/>
                <w:bCs w:val="0"/>
                <w:noProof/>
                <w:webHidden/>
                <w:sz w:val="22"/>
                <w:szCs w:val="22"/>
              </w:rPr>
            </w:r>
            <w:r w:rsidRPr="00335BC0">
              <w:rPr>
                <w:rFonts w:ascii="Source Sans Pro" w:hAnsi="Source Sans Pro"/>
                <w:b w:val="0"/>
                <w:bCs w:val="0"/>
                <w:noProof/>
                <w:webHidden/>
                <w:sz w:val="22"/>
                <w:szCs w:val="22"/>
              </w:rPr>
              <w:fldChar w:fldCharType="separate"/>
            </w:r>
            <w:r w:rsidR="00683DBA">
              <w:rPr>
                <w:rFonts w:ascii="Source Sans Pro" w:hAnsi="Source Sans Pro"/>
                <w:b w:val="0"/>
                <w:bCs w:val="0"/>
                <w:noProof/>
                <w:webHidden/>
                <w:sz w:val="22"/>
                <w:szCs w:val="22"/>
              </w:rPr>
              <w:t>4</w:t>
            </w:r>
            <w:r w:rsidRPr="00335BC0">
              <w:rPr>
                <w:rFonts w:ascii="Source Sans Pro" w:hAnsi="Source Sans Pro"/>
                <w:b w:val="0"/>
                <w:bCs w:val="0"/>
                <w:noProof/>
                <w:webHidden/>
                <w:sz w:val="22"/>
                <w:szCs w:val="22"/>
              </w:rPr>
              <w:fldChar w:fldCharType="end"/>
            </w:r>
          </w:hyperlink>
        </w:p>
        <w:p w14:paraId="559171D1" w14:textId="54014E42" w:rsidR="00F17B51" w:rsidRPr="00335BC0" w:rsidRDefault="00F17B51">
          <w:pPr>
            <w:pStyle w:val="TOC1"/>
            <w:tabs>
              <w:tab w:val="right" w:leader="dot" w:pos="9016"/>
            </w:tabs>
            <w:rPr>
              <w:rFonts w:ascii="Source Sans Pro" w:eastAsiaTheme="minorEastAsia" w:hAnsi="Source Sans Pro" w:cstheme="minorBidi"/>
              <w:b w:val="0"/>
              <w:bCs w:val="0"/>
              <w:caps w:val="0"/>
              <w:noProof/>
              <w:kern w:val="2"/>
              <w:sz w:val="22"/>
              <w:szCs w:val="22"/>
              <w:lang w:val="en-GB" w:eastAsia="en-GB"/>
              <w14:ligatures w14:val="standardContextual"/>
            </w:rPr>
          </w:pPr>
          <w:hyperlink w:anchor="_Toc212823914" w:history="1">
            <w:r w:rsidRPr="00335BC0">
              <w:rPr>
                <w:rStyle w:val="Hyperlink"/>
                <w:rFonts w:ascii="Source Sans Pro" w:hAnsi="Source Sans Pro"/>
                <w:b w:val="0"/>
                <w:bCs w:val="0"/>
                <w:noProof/>
                <w:sz w:val="22"/>
                <w:szCs w:val="22"/>
                <w:lang w:val="en"/>
              </w:rPr>
              <w:t>4. Legislative and Funding Instruments</w:t>
            </w:r>
            <w:r w:rsidRPr="00335BC0">
              <w:rPr>
                <w:rFonts w:ascii="Source Sans Pro" w:hAnsi="Source Sans Pro"/>
                <w:b w:val="0"/>
                <w:bCs w:val="0"/>
                <w:noProof/>
                <w:webHidden/>
                <w:sz w:val="22"/>
                <w:szCs w:val="22"/>
              </w:rPr>
              <w:tab/>
            </w:r>
            <w:r w:rsidRPr="00335BC0">
              <w:rPr>
                <w:rFonts w:ascii="Source Sans Pro" w:hAnsi="Source Sans Pro"/>
                <w:b w:val="0"/>
                <w:bCs w:val="0"/>
                <w:noProof/>
                <w:webHidden/>
                <w:sz w:val="22"/>
                <w:szCs w:val="22"/>
              </w:rPr>
              <w:fldChar w:fldCharType="begin"/>
            </w:r>
            <w:r w:rsidRPr="00335BC0">
              <w:rPr>
                <w:rFonts w:ascii="Source Sans Pro" w:hAnsi="Source Sans Pro"/>
                <w:b w:val="0"/>
                <w:bCs w:val="0"/>
                <w:noProof/>
                <w:webHidden/>
                <w:sz w:val="22"/>
                <w:szCs w:val="22"/>
              </w:rPr>
              <w:instrText xml:space="preserve"> PAGEREF _Toc212823914 \h </w:instrText>
            </w:r>
            <w:r w:rsidRPr="00335BC0">
              <w:rPr>
                <w:rFonts w:ascii="Source Sans Pro" w:hAnsi="Source Sans Pro"/>
                <w:b w:val="0"/>
                <w:bCs w:val="0"/>
                <w:noProof/>
                <w:webHidden/>
                <w:sz w:val="22"/>
                <w:szCs w:val="22"/>
              </w:rPr>
            </w:r>
            <w:r w:rsidRPr="00335BC0">
              <w:rPr>
                <w:rFonts w:ascii="Source Sans Pro" w:hAnsi="Source Sans Pro"/>
                <w:b w:val="0"/>
                <w:bCs w:val="0"/>
                <w:noProof/>
                <w:webHidden/>
                <w:sz w:val="22"/>
                <w:szCs w:val="22"/>
              </w:rPr>
              <w:fldChar w:fldCharType="separate"/>
            </w:r>
            <w:r w:rsidR="00683DBA">
              <w:rPr>
                <w:rFonts w:ascii="Source Sans Pro" w:hAnsi="Source Sans Pro"/>
                <w:b w:val="0"/>
                <w:bCs w:val="0"/>
                <w:noProof/>
                <w:webHidden/>
                <w:sz w:val="22"/>
                <w:szCs w:val="22"/>
              </w:rPr>
              <w:t>5</w:t>
            </w:r>
            <w:r w:rsidRPr="00335BC0">
              <w:rPr>
                <w:rFonts w:ascii="Source Sans Pro" w:hAnsi="Source Sans Pro"/>
                <w:b w:val="0"/>
                <w:bCs w:val="0"/>
                <w:noProof/>
                <w:webHidden/>
                <w:sz w:val="22"/>
                <w:szCs w:val="22"/>
              </w:rPr>
              <w:fldChar w:fldCharType="end"/>
            </w:r>
          </w:hyperlink>
        </w:p>
        <w:p w14:paraId="47C84A13" w14:textId="6F4CF3C7" w:rsidR="00F17B51" w:rsidRPr="00335BC0" w:rsidRDefault="00F17B51">
          <w:pPr>
            <w:pStyle w:val="TOC1"/>
            <w:tabs>
              <w:tab w:val="right" w:leader="dot" w:pos="9016"/>
            </w:tabs>
            <w:rPr>
              <w:rFonts w:ascii="Source Sans Pro" w:eastAsiaTheme="minorEastAsia" w:hAnsi="Source Sans Pro" w:cstheme="minorBidi"/>
              <w:b w:val="0"/>
              <w:bCs w:val="0"/>
              <w:caps w:val="0"/>
              <w:noProof/>
              <w:kern w:val="2"/>
              <w:sz w:val="22"/>
              <w:szCs w:val="22"/>
              <w:lang w:val="en-GB" w:eastAsia="en-GB"/>
              <w14:ligatures w14:val="standardContextual"/>
            </w:rPr>
          </w:pPr>
          <w:hyperlink w:anchor="_Toc212823915" w:history="1">
            <w:r w:rsidRPr="00335BC0">
              <w:rPr>
                <w:rStyle w:val="Hyperlink"/>
                <w:rFonts w:ascii="Source Sans Pro" w:hAnsi="Source Sans Pro"/>
                <w:b w:val="0"/>
                <w:bCs w:val="0"/>
                <w:noProof/>
                <w:sz w:val="22"/>
                <w:szCs w:val="22"/>
                <w:lang w:val="en"/>
              </w:rPr>
              <w:t>5. Core Policy Pillars: A Detailed Exposition</w:t>
            </w:r>
            <w:r w:rsidRPr="00335BC0">
              <w:rPr>
                <w:rFonts w:ascii="Source Sans Pro" w:hAnsi="Source Sans Pro"/>
                <w:b w:val="0"/>
                <w:bCs w:val="0"/>
                <w:noProof/>
                <w:webHidden/>
                <w:sz w:val="22"/>
                <w:szCs w:val="22"/>
              </w:rPr>
              <w:tab/>
            </w:r>
            <w:r w:rsidRPr="00335BC0">
              <w:rPr>
                <w:rFonts w:ascii="Source Sans Pro" w:hAnsi="Source Sans Pro"/>
                <w:b w:val="0"/>
                <w:bCs w:val="0"/>
                <w:noProof/>
                <w:webHidden/>
                <w:sz w:val="22"/>
                <w:szCs w:val="22"/>
              </w:rPr>
              <w:fldChar w:fldCharType="begin"/>
            </w:r>
            <w:r w:rsidRPr="00335BC0">
              <w:rPr>
                <w:rFonts w:ascii="Source Sans Pro" w:hAnsi="Source Sans Pro"/>
                <w:b w:val="0"/>
                <w:bCs w:val="0"/>
                <w:noProof/>
                <w:webHidden/>
                <w:sz w:val="22"/>
                <w:szCs w:val="22"/>
              </w:rPr>
              <w:instrText xml:space="preserve"> PAGEREF _Toc212823915 \h </w:instrText>
            </w:r>
            <w:r w:rsidRPr="00335BC0">
              <w:rPr>
                <w:rFonts w:ascii="Source Sans Pro" w:hAnsi="Source Sans Pro"/>
                <w:b w:val="0"/>
                <w:bCs w:val="0"/>
                <w:noProof/>
                <w:webHidden/>
                <w:sz w:val="22"/>
                <w:szCs w:val="22"/>
              </w:rPr>
            </w:r>
            <w:r w:rsidRPr="00335BC0">
              <w:rPr>
                <w:rFonts w:ascii="Source Sans Pro" w:hAnsi="Source Sans Pro"/>
                <w:b w:val="0"/>
                <w:bCs w:val="0"/>
                <w:noProof/>
                <w:webHidden/>
                <w:sz w:val="22"/>
                <w:szCs w:val="22"/>
              </w:rPr>
              <w:fldChar w:fldCharType="separate"/>
            </w:r>
            <w:r w:rsidR="00683DBA">
              <w:rPr>
                <w:rFonts w:ascii="Source Sans Pro" w:hAnsi="Source Sans Pro"/>
                <w:b w:val="0"/>
                <w:bCs w:val="0"/>
                <w:noProof/>
                <w:webHidden/>
                <w:sz w:val="22"/>
                <w:szCs w:val="22"/>
              </w:rPr>
              <w:t>6</w:t>
            </w:r>
            <w:r w:rsidRPr="00335BC0">
              <w:rPr>
                <w:rFonts w:ascii="Source Sans Pro" w:hAnsi="Source Sans Pro"/>
                <w:b w:val="0"/>
                <w:bCs w:val="0"/>
                <w:noProof/>
                <w:webHidden/>
                <w:sz w:val="22"/>
                <w:szCs w:val="22"/>
              </w:rPr>
              <w:fldChar w:fldCharType="end"/>
            </w:r>
          </w:hyperlink>
        </w:p>
        <w:p w14:paraId="69CE8B00" w14:textId="5275A86F" w:rsidR="00F17B51" w:rsidRPr="00335BC0" w:rsidRDefault="00F17B51">
          <w:pPr>
            <w:pStyle w:val="TOC1"/>
            <w:tabs>
              <w:tab w:val="right" w:leader="dot" w:pos="9016"/>
            </w:tabs>
            <w:rPr>
              <w:rFonts w:ascii="Source Sans Pro" w:eastAsiaTheme="minorEastAsia" w:hAnsi="Source Sans Pro" w:cstheme="minorBidi"/>
              <w:b w:val="0"/>
              <w:bCs w:val="0"/>
              <w:caps w:val="0"/>
              <w:noProof/>
              <w:kern w:val="2"/>
              <w:sz w:val="22"/>
              <w:szCs w:val="22"/>
              <w:lang w:val="en-GB" w:eastAsia="en-GB"/>
              <w14:ligatures w14:val="standardContextual"/>
            </w:rPr>
          </w:pPr>
          <w:hyperlink w:anchor="_Toc212823916" w:history="1">
            <w:r w:rsidRPr="00335BC0">
              <w:rPr>
                <w:rStyle w:val="Hyperlink"/>
                <w:rFonts w:ascii="Source Sans Pro" w:hAnsi="Source Sans Pro"/>
                <w:b w:val="0"/>
                <w:bCs w:val="0"/>
                <w:noProof/>
                <w:sz w:val="22"/>
                <w:szCs w:val="22"/>
                <w:lang w:val="en"/>
              </w:rPr>
              <w:t>6. Governance and Implementation</w:t>
            </w:r>
            <w:r w:rsidRPr="00335BC0">
              <w:rPr>
                <w:rFonts w:ascii="Source Sans Pro" w:hAnsi="Source Sans Pro"/>
                <w:b w:val="0"/>
                <w:bCs w:val="0"/>
                <w:noProof/>
                <w:webHidden/>
                <w:sz w:val="22"/>
                <w:szCs w:val="22"/>
              </w:rPr>
              <w:tab/>
            </w:r>
            <w:r w:rsidRPr="00335BC0">
              <w:rPr>
                <w:rFonts w:ascii="Source Sans Pro" w:hAnsi="Source Sans Pro"/>
                <w:b w:val="0"/>
                <w:bCs w:val="0"/>
                <w:noProof/>
                <w:webHidden/>
                <w:sz w:val="22"/>
                <w:szCs w:val="22"/>
              </w:rPr>
              <w:fldChar w:fldCharType="begin"/>
            </w:r>
            <w:r w:rsidRPr="00335BC0">
              <w:rPr>
                <w:rFonts w:ascii="Source Sans Pro" w:hAnsi="Source Sans Pro"/>
                <w:b w:val="0"/>
                <w:bCs w:val="0"/>
                <w:noProof/>
                <w:webHidden/>
                <w:sz w:val="22"/>
                <w:szCs w:val="22"/>
              </w:rPr>
              <w:instrText xml:space="preserve"> PAGEREF _Toc212823916 \h </w:instrText>
            </w:r>
            <w:r w:rsidRPr="00335BC0">
              <w:rPr>
                <w:rFonts w:ascii="Source Sans Pro" w:hAnsi="Source Sans Pro"/>
                <w:b w:val="0"/>
                <w:bCs w:val="0"/>
                <w:noProof/>
                <w:webHidden/>
                <w:sz w:val="22"/>
                <w:szCs w:val="22"/>
              </w:rPr>
            </w:r>
            <w:r w:rsidRPr="00335BC0">
              <w:rPr>
                <w:rFonts w:ascii="Source Sans Pro" w:hAnsi="Source Sans Pro"/>
                <w:b w:val="0"/>
                <w:bCs w:val="0"/>
                <w:noProof/>
                <w:webHidden/>
                <w:sz w:val="22"/>
                <w:szCs w:val="22"/>
              </w:rPr>
              <w:fldChar w:fldCharType="separate"/>
            </w:r>
            <w:r w:rsidR="00683DBA">
              <w:rPr>
                <w:rFonts w:ascii="Source Sans Pro" w:hAnsi="Source Sans Pro"/>
                <w:b w:val="0"/>
                <w:bCs w:val="0"/>
                <w:noProof/>
                <w:webHidden/>
                <w:sz w:val="22"/>
                <w:szCs w:val="22"/>
              </w:rPr>
              <w:t>9</w:t>
            </w:r>
            <w:r w:rsidRPr="00335BC0">
              <w:rPr>
                <w:rFonts w:ascii="Source Sans Pro" w:hAnsi="Source Sans Pro"/>
                <w:b w:val="0"/>
                <w:bCs w:val="0"/>
                <w:noProof/>
                <w:webHidden/>
                <w:sz w:val="22"/>
                <w:szCs w:val="22"/>
              </w:rPr>
              <w:fldChar w:fldCharType="end"/>
            </w:r>
          </w:hyperlink>
        </w:p>
        <w:p w14:paraId="33B75F82" w14:textId="4B90EECA" w:rsidR="00F17B51" w:rsidRPr="00335BC0" w:rsidRDefault="00F17B51">
          <w:pPr>
            <w:pStyle w:val="TOC1"/>
            <w:tabs>
              <w:tab w:val="right" w:leader="dot" w:pos="9016"/>
            </w:tabs>
            <w:rPr>
              <w:rFonts w:ascii="Source Sans Pro" w:eastAsiaTheme="minorEastAsia" w:hAnsi="Source Sans Pro" w:cstheme="minorBidi"/>
              <w:b w:val="0"/>
              <w:bCs w:val="0"/>
              <w:caps w:val="0"/>
              <w:noProof/>
              <w:kern w:val="2"/>
              <w:sz w:val="22"/>
              <w:szCs w:val="22"/>
              <w:lang w:val="en-GB" w:eastAsia="en-GB"/>
              <w14:ligatures w14:val="standardContextual"/>
            </w:rPr>
          </w:pPr>
          <w:hyperlink w:anchor="_Toc212823917" w:history="1">
            <w:r w:rsidRPr="00335BC0">
              <w:rPr>
                <w:rStyle w:val="Hyperlink"/>
                <w:rFonts w:ascii="Source Sans Pro" w:hAnsi="Source Sans Pro"/>
                <w:b w:val="0"/>
                <w:bCs w:val="0"/>
                <w:noProof/>
                <w:sz w:val="22"/>
                <w:szCs w:val="22"/>
                <w:lang w:val="en"/>
              </w:rPr>
              <w:t>7. Conclusion</w:t>
            </w:r>
            <w:r w:rsidRPr="00335BC0">
              <w:rPr>
                <w:rFonts w:ascii="Source Sans Pro" w:hAnsi="Source Sans Pro"/>
                <w:b w:val="0"/>
                <w:bCs w:val="0"/>
                <w:noProof/>
                <w:webHidden/>
                <w:sz w:val="22"/>
                <w:szCs w:val="22"/>
              </w:rPr>
              <w:tab/>
            </w:r>
            <w:r w:rsidRPr="00335BC0">
              <w:rPr>
                <w:rFonts w:ascii="Source Sans Pro" w:hAnsi="Source Sans Pro"/>
                <w:b w:val="0"/>
                <w:bCs w:val="0"/>
                <w:noProof/>
                <w:webHidden/>
                <w:sz w:val="22"/>
                <w:szCs w:val="22"/>
              </w:rPr>
              <w:fldChar w:fldCharType="begin"/>
            </w:r>
            <w:r w:rsidRPr="00335BC0">
              <w:rPr>
                <w:rFonts w:ascii="Source Sans Pro" w:hAnsi="Source Sans Pro"/>
                <w:b w:val="0"/>
                <w:bCs w:val="0"/>
                <w:noProof/>
                <w:webHidden/>
                <w:sz w:val="22"/>
                <w:szCs w:val="22"/>
              </w:rPr>
              <w:instrText xml:space="preserve"> PAGEREF _Toc212823917 \h </w:instrText>
            </w:r>
            <w:r w:rsidRPr="00335BC0">
              <w:rPr>
                <w:rFonts w:ascii="Source Sans Pro" w:hAnsi="Source Sans Pro"/>
                <w:b w:val="0"/>
                <w:bCs w:val="0"/>
                <w:noProof/>
                <w:webHidden/>
                <w:sz w:val="22"/>
                <w:szCs w:val="22"/>
              </w:rPr>
            </w:r>
            <w:r w:rsidRPr="00335BC0">
              <w:rPr>
                <w:rFonts w:ascii="Source Sans Pro" w:hAnsi="Source Sans Pro"/>
                <w:b w:val="0"/>
                <w:bCs w:val="0"/>
                <w:noProof/>
                <w:webHidden/>
                <w:sz w:val="22"/>
                <w:szCs w:val="22"/>
              </w:rPr>
              <w:fldChar w:fldCharType="separate"/>
            </w:r>
            <w:r w:rsidR="00683DBA">
              <w:rPr>
                <w:rFonts w:ascii="Source Sans Pro" w:hAnsi="Source Sans Pro"/>
                <w:b w:val="0"/>
                <w:bCs w:val="0"/>
                <w:noProof/>
                <w:webHidden/>
                <w:sz w:val="22"/>
                <w:szCs w:val="22"/>
              </w:rPr>
              <w:t>13</w:t>
            </w:r>
            <w:r w:rsidRPr="00335BC0">
              <w:rPr>
                <w:rFonts w:ascii="Source Sans Pro" w:hAnsi="Source Sans Pro"/>
                <w:b w:val="0"/>
                <w:bCs w:val="0"/>
                <w:noProof/>
                <w:webHidden/>
                <w:sz w:val="22"/>
                <w:szCs w:val="22"/>
              </w:rPr>
              <w:fldChar w:fldCharType="end"/>
            </w:r>
          </w:hyperlink>
        </w:p>
        <w:p w14:paraId="1CD7D645" w14:textId="44B855F3" w:rsidR="00F17B51" w:rsidRPr="00335BC0" w:rsidRDefault="00F17B51">
          <w:pPr>
            <w:pStyle w:val="TOC1"/>
            <w:tabs>
              <w:tab w:val="right" w:leader="dot" w:pos="9016"/>
            </w:tabs>
            <w:rPr>
              <w:rFonts w:ascii="Source Sans Pro" w:eastAsiaTheme="minorEastAsia" w:hAnsi="Source Sans Pro" w:cstheme="minorBidi"/>
              <w:b w:val="0"/>
              <w:bCs w:val="0"/>
              <w:caps w:val="0"/>
              <w:noProof/>
              <w:kern w:val="2"/>
              <w:sz w:val="22"/>
              <w:szCs w:val="22"/>
              <w:lang w:val="en-GB" w:eastAsia="en-GB"/>
              <w14:ligatures w14:val="standardContextual"/>
            </w:rPr>
          </w:pPr>
          <w:hyperlink w:anchor="_Toc212823918" w:history="1">
            <w:r w:rsidRPr="00335BC0">
              <w:rPr>
                <w:rStyle w:val="Hyperlink"/>
                <w:rFonts w:ascii="Source Sans Pro" w:hAnsi="Source Sans Pro"/>
                <w:b w:val="0"/>
                <w:bCs w:val="0"/>
                <w:noProof/>
                <w:sz w:val="22"/>
                <w:szCs w:val="22"/>
                <w:lang w:val="en"/>
              </w:rPr>
              <w:t>8. References</w:t>
            </w:r>
            <w:r w:rsidRPr="00335BC0">
              <w:rPr>
                <w:rFonts w:ascii="Source Sans Pro" w:hAnsi="Source Sans Pro"/>
                <w:b w:val="0"/>
                <w:bCs w:val="0"/>
                <w:noProof/>
                <w:webHidden/>
                <w:sz w:val="22"/>
                <w:szCs w:val="22"/>
              </w:rPr>
              <w:tab/>
            </w:r>
            <w:r w:rsidRPr="00335BC0">
              <w:rPr>
                <w:rFonts w:ascii="Source Sans Pro" w:hAnsi="Source Sans Pro"/>
                <w:b w:val="0"/>
                <w:bCs w:val="0"/>
                <w:noProof/>
                <w:webHidden/>
                <w:sz w:val="22"/>
                <w:szCs w:val="22"/>
              </w:rPr>
              <w:fldChar w:fldCharType="begin"/>
            </w:r>
            <w:r w:rsidRPr="00335BC0">
              <w:rPr>
                <w:rFonts w:ascii="Source Sans Pro" w:hAnsi="Source Sans Pro"/>
                <w:b w:val="0"/>
                <w:bCs w:val="0"/>
                <w:noProof/>
                <w:webHidden/>
                <w:sz w:val="22"/>
                <w:szCs w:val="22"/>
              </w:rPr>
              <w:instrText xml:space="preserve"> PAGEREF _Toc212823918 \h </w:instrText>
            </w:r>
            <w:r w:rsidRPr="00335BC0">
              <w:rPr>
                <w:rFonts w:ascii="Source Sans Pro" w:hAnsi="Source Sans Pro"/>
                <w:b w:val="0"/>
                <w:bCs w:val="0"/>
                <w:noProof/>
                <w:webHidden/>
                <w:sz w:val="22"/>
                <w:szCs w:val="22"/>
              </w:rPr>
            </w:r>
            <w:r w:rsidRPr="00335BC0">
              <w:rPr>
                <w:rFonts w:ascii="Source Sans Pro" w:hAnsi="Source Sans Pro"/>
                <w:b w:val="0"/>
                <w:bCs w:val="0"/>
                <w:noProof/>
                <w:webHidden/>
                <w:sz w:val="22"/>
                <w:szCs w:val="22"/>
              </w:rPr>
              <w:fldChar w:fldCharType="separate"/>
            </w:r>
            <w:r w:rsidR="00683DBA">
              <w:rPr>
                <w:rFonts w:ascii="Source Sans Pro" w:hAnsi="Source Sans Pro"/>
                <w:b w:val="0"/>
                <w:bCs w:val="0"/>
                <w:noProof/>
                <w:webHidden/>
                <w:sz w:val="22"/>
                <w:szCs w:val="22"/>
              </w:rPr>
              <w:t>13</w:t>
            </w:r>
            <w:r w:rsidRPr="00335BC0">
              <w:rPr>
                <w:rFonts w:ascii="Source Sans Pro" w:hAnsi="Source Sans Pro"/>
                <w:b w:val="0"/>
                <w:bCs w:val="0"/>
                <w:noProof/>
                <w:webHidden/>
                <w:sz w:val="22"/>
                <w:szCs w:val="22"/>
              </w:rPr>
              <w:fldChar w:fldCharType="end"/>
            </w:r>
          </w:hyperlink>
        </w:p>
        <w:p w14:paraId="0969D4F2" w14:textId="100684DC" w:rsidR="00F17B51" w:rsidRDefault="00F17B51">
          <w:pPr>
            <w:rPr>
              <w:b/>
              <w:bCs/>
              <w:noProof/>
            </w:rPr>
          </w:pPr>
          <w:r w:rsidRPr="00335BC0">
            <w:rPr>
              <w:rFonts w:ascii="Source Sans Pro" w:hAnsi="Source Sans Pro"/>
              <w:noProof/>
              <w:sz w:val="22"/>
              <w:szCs w:val="22"/>
            </w:rPr>
            <w:fldChar w:fldCharType="end"/>
          </w:r>
        </w:p>
      </w:sdtContent>
    </w:sdt>
    <w:p w14:paraId="5C5CB441" w14:textId="77777777" w:rsidR="00335BC0" w:rsidRDefault="00335BC0"/>
    <w:p w14:paraId="77956596" w14:textId="42B5DB0A" w:rsidR="001320FE" w:rsidRDefault="001320FE">
      <w:pPr>
        <w:pStyle w:val="Heading1"/>
        <w:numPr>
          <w:ilvl w:val="0"/>
          <w:numId w:val="13"/>
        </w:numPr>
        <w:jc w:val="both"/>
        <w:rPr>
          <w:lang w:val="en"/>
        </w:rPr>
      </w:pPr>
      <w:bookmarkStart w:id="3" w:name="_Toc212823911"/>
      <w:r w:rsidRPr="001320FE">
        <w:rPr>
          <w:lang w:val="en"/>
        </w:rPr>
        <w:lastRenderedPageBreak/>
        <w:t>Executive Summary</w:t>
      </w:r>
      <w:bookmarkEnd w:id="3"/>
    </w:p>
    <w:p w14:paraId="6083FE0B" w14:textId="77777777" w:rsidR="007F0D1A" w:rsidRPr="007F0D1A" w:rsidRDefault="007F0D1A" w:rsidP="007F0D1A">
      <w:pPr>
        <w:rPr>
          <w:lang w:val="en"/>
        </w:rPr>
      </w:pPr>
    </w:p>
    <w:p w14:paraId="39672AF2"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This proposal outlines the establishment of the </w:t>
      </w:r>
      <w:r w:rsidRPr="001320FE">
        <w:rPr>
          <w:rFonts w:ascii="Source Sans Pro" w:hAnsi="Source Sans Pro"/>
          <w:b/>
          <w:sz w:val="24"/>
          <w:szCs w:val="24"/>
          <w:lang w:val="en"/>
        </w:rPr>
        <w:t>Pan-European Higher Education and Adult Learning Ecosystem for Deep-Tech Predictive Maintenance in Manufacturing (</w:t>
      </w:r>
      <w:proofErr w:type="spellStart"/>
      <w:r w:rsidRPr="001320FE">
        <w:rPr>
          <w:rFonts w:ascii="Source Sans Pro" w:hAnsi="Source Sans Pro"/>
          <w:b/>
          <w:sz w:val="24"/>
          <w:szCs w:val="24"/>
          <w:lang w:val="en"/>
        </w:rPr>
        <w:t>PreVEnT</w:t>
      </w:r>
      <w:proofErr w:type="spellEnd"/>
      <w:r w:rsidRPr="001320FE">
        <w:rPr>
          <w:rFonts w:ascii="Source Sans Pro" w:hAnsi="Source Sans Pro"/>
          <w:b/>
          <w:sz w:val="24"/>
          <w:szCs w:val="24"/>
          <w:lang w:val="en"/>
        </w:rPr>
        <w:t>-Eco)</w:t>
      </w:r>
      <w:r w:rsidRPr="001320FE">
        <w:rPr>
          <w:rFonts w:ascii="Source Sans Pro" w:hAnsi="Source Sans Pro"/>
          <w:sz w:val="24"/>
          <w:szCs w:val="24"/>
          <w:lang w:val="en"/>
        </w:rPr>
        <w:t>. This initiative directly addresses critical, intertwined challenges facing the European Union: a persistent digital skills gap, significant industrial productivity losses, and the urgent need to meet the environmental objectives of the European Green Deal.</w:t>
      </w:r>
    </w:p>
    <w:p w14:paraId="45E75EB4"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EU manufacturing faces significant productivity challenges. Industry analysts estimate that unplanned industrial downtime costs the sector </w:t>
      </w:r>
      <w:r w:rsidRPr="001320FE">
        <w:rPr>
          <w:rFonts w:ascii="Source Sans Pro" w:hAnsi="Source Sans Pro"/>
          <w:b/>
          <w:sz w:val="24"/>
          <w:szCs w:val="24"/>
          <w:lang w:val="en"/>
        </w:rPr>
        <w:t>tens of billions of euros annually</w:t>
      </w:r>
      <w:r w:rsidRPr="001320FE">
        <w:rPr>
          <w:rFonts w:ascii="Source Sans Pro" w:hAnsi="Source Sans Pro"/>
          <w:sz w:val="24"/>
          <w:szCs w:val="24"/>
          <w:lang w:val="en"/>
        </w:rPr>
        <w:t xml:space="preserve">, representing a major drain on competitiveness (European Commission, 2023a; McKinsey, 2022). This productivity gap is exacerbated by a structural skills deficit. Recent analysis from </w:t>
      </w:r>
      <w:proofErr w:type="spellStart"/>
      <w:r w:rsidRPr="001320FE">
        <w:rPr>
          <w:rFonts w:ascii="Source Sans Pro" w:hAnsi="Source Sans Pro"/>
          <w:sz w:val="24"/>
          <w:szCs w:val="24"/>
          <w:lang w:val="en"/>
        </w:rPr>
        <w:t>Cedefop</w:t>
      </w:r>
      <w:proofErr w:type="spellEnd"/>
      <w:r w:rsidRPr="001320FE">
        <w:rPr>
          <w:rFonts w:ascii="Source Sans Pro" w:hAnsi="Source Sans Pro"/>
          <w:sz w:val="24"/>
          <w:szCs w:val="24"/>
          <w:lang w:val="en"/>
        </w:rPr>
        <w:t xml:space="preserve"> (2023) confirms that a </w:t>
      </w:r>
      <w:r w:rsidRPr="001320FE">
        <w:rPr>
          <w:rFonts w:ascii="Source Sans Pro" w:hAnsi="Source Sans Pro"/>
          <w:b/>
          <w:sz w:val="24"/>
          <w:szCs w:val="24"/>
          <w:lang w:val="en"/>
        </w:rPr>
        <w:t>significant portion of the EU industrial workforce lacks the specialized digital skills</w:t>
      </w:r>
      <w:r w:rsidRPr="001320FE">
        <w:rPr>
          <w:rFonts w:ascii="Source Sans Pro" w:hAnsi="Source Sans Pro"/>
          <w:sz w:val="24"/>
          <w:szCs w:val="24"/>
          <w:lang w:val="en"/>
        </w:rPr>
        <w:t xml:space="preserve"> required for AI-driven predictive maintenance (</w:t>
      </w:r>
      <w:proofErr w:type="spellStart"/>
      <w:r w:rsidRPr="001320FE">
        <w:rPr>
          <w:rFonts w:ascii="Source Sans Pro" w:hAnsi="Source Sans Pro"/>
          <w:sz w:val="24"/>
          <w:szCs w:val="24"/>
          <w:lang w:val="en"/>
        </w:rPr>
        <w:t>PdM</w:t>
      </w:r>
      <w:proofErr w:type="spellEnd"/>
      <w:r w:rsidRPr="001320FE">
        <w:rPr>
          <w:rFonts w:ascii="Source Sans Pro" w:hAnsi="Source Sans Pro"/>
          <w:sz w:val="24"/>
          <w:szCs w:val="24"/>
          <w:lang w:val="en"/>
        </w:rPr>
        <w:t>). This gap stifles the adoption of Industry 4.0 technologies that are essential for global competitiveness.</w:t>
      </w:r>
    </w:p>
    <w:p w14:paraId="58290298"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Concurrently, the European Environment Agency (2023) reports that </w:t>
      </w:r>
      <w:r w:rsidRPr="001320FE">
        <w:rPr>
          <w:rFonts w:ascii="Source Sans Pro" w:hAnsi="Source Sans Pro"/>
          <w:b/>
          <w:sz w:val="24"/>
          <w:szCs w:val="24"/>
          <w:lang w:val="en"/>
        </w:rPr>
        <w:t>industrial energy and resource inefficiency</w:t>
      </w:r>
      <w:r w:rsidRPr="001320FE">
        <w:rPr>
          <w:rFonts w:ascii="Source Sans Pro" w:hAnsi="Source Sans Pro"/>
          <w:sz w:val="24"/>
          <w:szCs w:val="24"/>
          <w:lang w:val="en"/>
        </w:rPr>
        <w:t xml:space="preserve"> (which includes suboptimal maintenance and lifecycle management) accounts for a substantial portion of avoidable CO₂ emissions.</w:t>
      </w:r>
    </w:p>
    <w:p w14:paraId="38556DF1" w14:textId="5FF9B503"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The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-Eco proposal is not a theoretical exercise; it is the strategic scaling of a highly successful, validated proof-of-concept. The foundational </w:t>
      </w:r>
      <w:r w:rsidRPr="001320FE">
        <w:rPr>
          <w:rFonts w:ascii="Source Sans Pro" w:hAnsi="Source Sans Pro"/>
          <w:b/>
          <w:sz w:val="24"/>
          <w:szCs w:val="24"/>
          <w:lang w:val="en"/>
        </w:rPr>
        <w:t>Erasmus+ project '</w:t>
      </w:r>
      <w:proofErr w:type="spellStart"/>
      <w:r w:rsidRPr="001320FE">
        <w:rPr>
          <w:rFonts w:ascii="Source Sans Pro" w:hAnsi="Source Sans Pro"/>
          <w:b/>
          <w:sz w:val="24"/>
          <w:szCs w:val="24"/>
          <w:lang w:val="en"/>
        </w:rPr>
        <w:t>PreVEnT</w:t>
      </w:r>
      <w:proofErr w:type="spellEnd"/>
      <w:r w:rsidRPr="001320FE">
        <w:rPr>
          <w:rFonts w:ascii="Source Sans Pro" w:hAnsi="Source Sans Pro"/>
          <w:b/>
          <w:sz w:val="24"/>
          <w:szCs w:val="24"/>
          <w:lang w:val="en"/>
        </w:rPr>
        <w:t>' (2022–2025)</w:t>
      </w:r>
      <w:r w:rsidRPr="001320FE">
        <w:rPr>
          <w:rFonts w:ascii="Source Sans Pro" w:hAnsi="Source Sans Pro"/>
          <w:sz w:val="24"/>
          <w:szCs w:val="24"/>
          <w:lang w:val="en"/>
        </w:rPr>
        <w:t xml:space="preserve"> has already demonstrated its impact. It has produced a robust, field-tested toolkit comprising:</w:t>
      </w:r>
    </w:p>
    <w:p w14:paraId="40677F88" w14:textId="77777777" w:rsidR="001320FE" w:rsidRPr="001320FE" w:rsidRDefault="001320FE">
      <w:pPr>
        <w:numPr>
          <w:ilvl w:val="0"/>
          <w:numId w:val="1"/>
        </w:numPr>
        <w:jc w:val="both"/>
        <w:rPr>
          <w:rFonts w:ascii="Source Sans Pro" w:hAnsi="Source Sans Pro"/>
          <w:sz w:val="24"/>
          <w:szCs w:val="24"/>
          <w:lang w:val="en"/>
        </w:rPr>
      </w:pPr>
      <w:r w:rsidRPr="001320FE">
        <w:rPr>
          <w:rFonts w:ascii="Source Sans Pro" w:hAnsi="Source Sans Pro"/>
          <w:sz w:val="24"/>
          <w:szCs w:val="24"/>
          <w:lang w:val="en"/>
        </w:rPr>
        <w:t xml:space="preserve">A network of </w:t>
      </w:r>
      <w:r w:rsidRPr="001320FE">
        <w:rPr>
          <w:rFonts w:ascii="Source Sans Pro" w:hAnsi="Source Sans Pro"/>
          <w:b/>
          <w:sz w:val="24"/>
          <w:szCs w:val="24"/>
          <w:lang w:val="en"/>
        </w:rPr>
        <w:t>Teaching Factories</w:t>
      </w:r>
      <w:r w:rsidRPr="001320FE">
        <w:rPr>
          <w:rFonts w:ascii="Source Sans Pro" w:hAnsi="Source Sans Pro"/>
          <w:sz w:val="24"/>
          <w:szCs w:val="24"/>
          <w:lang w:val="en"/>
        </w:rPr>
        <w:t xml:space="preserve"> embedding learning directly onto the shop floor.</w:t>
      </w:r>
    </w:p>
    <w:p w14:paraId="5D945B19" w14:textId="77777777" w:rsidR="001320FE" w:rsidRPr="001320FE" w:rsidRDefault="001320FE">
      <w:pPr>
        <w:numPr>
          <w:ilvl w:val="0"/>
          <w:numId w:val="1"/>
        </w:numPr>
        <w:jc w:val="both"/>
        <w:rPr>
          <w:rFonts w:ascii="Source Sans Pro" w:hAnsi="Source Sans Pro"/>
          <w:sz w:val="24"/>
          <w:szCs w:val="24"/>
          <w:lang w:val="en"/>
        </w:rPr>
      </w:pPr>
      <w:r w:rsidRPr="001320FE">
        <w:rPr>
          <w:rFonts w:ascii="Source Sans Pro" w:hAnsi="Source Sans Pro"/>
          <w:sz w:val="24"/>
          <w:szCs w:val="24"/>
          <w:lang w:val="en"/>
        </w:rPr>
        <w:t xml:space="preserve">A modular </w:t>
      </w:r>
      <w:r w:rsidRPr="001320FE">
        <w:rPr>
          <w:rFonts w:ascii="Source Sans Pro" w:hAnsi="Source Sans Pro"/>
          <w:b/>
          <w:sz w:val="24"/>
          <w:szCs w:val="24"/>
          <w:lang w:val="en"/>
        </w:rPr>
        <w:t>Competence Framework</w:t>
      </w:r>
      <w:r w:rsidRPr="001320FE">
        <w:rPr>
          <w:rFonts w:ascii="Source Sans Pro" w:hAnsi="Source Sans Pro"/>
          <w:sz w:val="24"/>
          <w:szCs w:val="24"/>
          <w:lang w:val="en"/>
        </w:rPr>
        <w:t xml:space="preserve"> of four stackable Competence Units (CUs) in AI, </w:t>
      </w:r>
      <w:proofErr w:type="spellStart"/>
      <w:r w:rsidRPr="001320FE">
        <w:rPr>
          <w:rFonts w:ascii="Source Sans Pro" w:hAnsi="Source Sans Pro"/>
          <w:sz w:val="24"/>
          <w:szCs w:val="24"/>
          <w:lang w:val="en"/>
        </w:rPr>
        <w:t>cobotics</w:t>
      </w:r>
      <w:proofErr w:type="spellEnd"/>
      <w:r w:rsidRPr="001320FE">
        <w:rPr>
          <w:rFonts w:ascii="Source Sans Pro" w:hAnsi="Source Sans Pro"/>
          <w:sz w:val="24"/>
          <w:szCs w:val="24"/>
          <w:lang w:val="en"/>
        </w:rPr>
        <w:t>, advanced materials, and lifecycle analysis.</w:t>
      </w:r>
    </w:p>
    <w:p w14:paraId="1F77ADFE" w14:textId="77777777" w:rsidR="001320FE" w:rsidRPr="001320FE" w:rsidRDefault="001320FE">
      <w:pPr>
        <w:numPr>
          <w:ilvl w:val="0"/>
          <w:numId w:val="1"/>
        </w:numPr>
        <w:jc w:val="both"/>
        <w:rPr>
          <w:rFonts w:ascii="Source Sans Pro" w:hAnsi="Source Sans Pro"/>
          <w:sz w:val="24"/>
          <w:szCs w:val="24"/>
          <w:lang w:val="en"/>
        </w:rPr>
      </w:pPr>
      <w:r w:rsidRPr="001320FE">
        <w:rPr>
          <w:rFonts w:ascii="Source Sans Pro" w:hAnsi="Source Sans Pro"/>
          <w:sz w:val="24"/>
          <w:szCs w:val="24"/>
          <w:lang w:val="en"/>
        </w:rPr>
        <w:t xml:space="preserve">A novel </w:t>
      </w:r>
      <w:r w:rsidRPr="001320FE">
        <w:rPr>
          <w:rFonts w:ascii="Source Sans Pro" w:hAnsi="Source Sans Pro"/>
          <w:b/>
          <w:sz w:val="24"/>
          <w:szCs w:val="24"/>
          <w:lang w:val="en"/>
        </w:rPr>
        <w:t>Life Cycle Assessment (LCA) tool</w:t>
      </w:r>
      <w:r w:rsidRPr="001320FE">
        <w:rPr>
          <w:rFonts w:ascii="Source Sans Pro" w:hAnsi="Source Sans Pro"/>
          <w:sz w:val="24"/>
          <w:szCs w:val="24"/>
          <w:lang w:val="en"/>
        </w:rPr>
        <w:t xml:space="preserve"> tailored for maintenance operations.</w:t>
      </w:r>
    </w:p>
    <w:p w14:paraId="4D5AAFEE" w14:textId="77777777" w:rsidR="001320FE" w:rsidRPr="001320FE" w:rsidRDefault="001320FE">
      <w:pPr>
        <w:numPr>
          <w:ilvl w:val="0"/>
          <w:numId w:val="1"/>
        </w:numPr>
        <w:jc w:val="both"/>
        <w:rPr>
          <w:rFonts w:ascii="Source Sans Pro" w:hAnsi="Source Sans Pro"/>
          <w:sz w:val="24"/>
          <w:szCs w:val="24"/>
          <w:lang w:val="en"/>
        </w:rPr>
      </w:pPr>
      <w:r w:rsidRPr="001320FE">
        <w:rPr>
          <w:rFonts w:ascii="Source Sans Pro" w:hAnsi="Source Sans Pro"/>
          <w:sz w:val="24"/>
          <w:szCs w:val="24"/>
          <w:lang w:val="en"/>
        </w:rPr>
        <w:t xml:space="preserve">An interoperable </w:t>
      </w:r>
      <w:r w:rsidRPr="001320FE">
        <w:rPr>
          <w:rFonts w:ascii="Source Sans Pro" w:hAnsi="Source Sans Pro"/>
          <w:b/>
          <w:sz w:val="24"/>
          <w:szCs w:val="24"/>
          <w:lang w:val="en"/>
        </w:rPr>
        <w:t>micro-credential system</w:t>
      </w:r>
      <w:r w:rsidRPr="001320FE">
        <w:rPr>
          <w:rFonts w:ascii="Source Sans Pro" w:hAnsi="Source Sans Pro"/>
          <w:sz w:val="24"/>
          <w:szCs w:val="24"/>
          <w:lang w:val="en"/>
        </w:rPr>
        <w:t xml:space="preserve"> and a comprehensive </w:t>
      </w:r>
      <w:r w:rsidRPr="001320FE">
        <w:rPr>
          <w:rFonts w:ascii="Source Sans Pro" w:hAnsi="Source Sans Pro"/>
          <w:b/>
          <w:sz w:val="24"/>
          <w:szCs w:val="24"/>
          <w:lang w:val="en"/>
        </w:rPr>
        <w:t>Open Educational Resources (OER) hub</w:t>
      </w:r>
      <w:r w:rsidRPr="001320FE">
        <w:rPr>
          <w:rFonts w:ascii="Source Sans Pro" w:hAnsi="Source Sans Pro"/>
          <w:sz w:val="24"/>
          <w:szCs w:val="24"/>
          <w:lang w:val="en"/>
        </w:rPr>
        <w:t>.</w:t>
      </w:r>
    </w:p>
    <w:p w14:paraId="2B1C2251"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This policy builds upon that success to create a permanent, scalable ecosystem. It leverages a multi-instrument funding approach (</w:t>
      </w:r>
      <w:r w:rsidRPr="001320FE">
        <w:rPr>
          <w:rFonts w:ascii="Source Sans Pro" w:hAnsi="Source Sans Pro"/>
          <w:b/>
          <w:sz w:val="24"/>
          <w:szCs w:val="24"/>
          <w:lang w:val="en"/>
        </w:rPr>
        <w:t>€1.445 billion, 2028-2034</w:t>
      </w:r>
      <w:r w:rsidRPr="001320FE">
        <w:rPr>
          <w:rFonts w:ascii="Source Sans Pro" w:hAnsi="Source Sans Pro"/>
          <w:sz w:val="24"/>
          <w:szCs w:val="24"/>
          <w:lang w:val="en"/>
        </w:rPr>
        <w:t xml:space="preserve">) across </w:t>
      </w:r>
      <w:r w:rsidRPr="001320FE">
        <w:rPr>
          <w:rFonts w:ascii="Source Sans Pro" w:hAnsi="Source Sans Pro"/>
          <w:b/>
          <w:sz w:val="24"/>
          <w:szCs w:val="24"/>
          <w:lang w:val="en"/>
        </w:rPr>
        <w:t>Erasmus+, Digital Europe, ESF+, and Horizon Europe</w:t>
      </w:r>
      <w:r w:rsidRPr="001320FE">
        <w:rPr>
          <w:rFonts w:ascii="Source Sans Pro" w:hAnsi="Source Sans Pro"/>
          <w:sz w:val="24"/>
          <w:szCs w:val="24"/>
          <w:lang w:val="en"/>
        </w:rPr>
        <w:t xml:space="preserve"> to achieve ambitious, concrete targets by 2035:</w:t>
      </w:r>
    </w:p>
    <w:p w14:paraId="715D43A2" w14:textId="09A22E60" w:rsidR="001320FE" w:rsidRPr="001320FE" w:rsidRDefault="001320FE">
      <w:pPr>
        <w:numPr>
          <w:ilvl w:val="0"/>
          <w:numId w:val="2"/>
        </w:numPr>
        <w:jc w:val="both"/>
        <w:rPr>
          <w:rFonts w:ascii="Source Sans Pro" w:hAnsi="Source Sans Pro"/>
          <w:sz w:val="24"/>
          <w:szCs w:val="24"/>
          <w:lang w:val="en"/>
        </w:rPr>
      </w:pPr>
      <w:r w:rsidRPr="001320FE">
        <w:rPr>
          <w:rFonts w:ascii="Source Sans Pro" w:hAnsi="Source Sans Pro"/>
          <w:b/>
          <w:sz w:val="24"/>
          <w:szCs w:val="24"/>
          <w:lang w:val="en"/>
        </w:rPr>
        <w:t>Scale Infrastructure:</w:t>
      </w:r>
      <w:r w:rsidRPr="001320FE">
        <w:rPr>
          <w:rFonts w:ascii="Source Sans Pro" w:hAnsi="Source Sans Pro"/>
          <w:sz w:val="24"/>
          <w:szCs w:val="24"/>
          <w:lang w:val="en"/>
        </w:rPr>
        <w:t xml:space="preserve"> Expand from 4 to 100 Teaching Factories across 15+ countries and enroll 1 million users on the Digital OER Hub.</w:t>
      </w:r>
    </w:p>
    <w:p w14:paraId="21F87F43" w14:textId="77777777" w:rsidR="001320FE" w:rsidRPr="001320FE" w:rsidRDefault="001320FE">
      <w:pPr>
        <w:numPr>
          <w:ilvl w:val="0"/>
          <w:numId w:val="2"/>
        </w:numPr>
        <w:jc w:val="both"/>
        <w:rPr>
          <w:rFonts w:ascii="Source Sans Pro" w:hAnsi="Source Sans Pro"/>
          <w:sz w:val="24"/>
          <w:szCs w:val="24"/>
          <w:lang w:val="en"/>
        </w:rPr>
      </w:pPr>
      <w:r w:rsidRPr="001320FE">
        <w:rPr>
          <w:rFonts w:ascii="Source Sans Pro" w:hAnsi="Source Sans Pro"/>
          <w:b/>
          <w:sz w:val="24"/>
          <w:szCs w:val="24"/>
          <w:lang w:val="en"/>
        </w:rPr>
        <w:t>Upskill the Workforce:</w:t>
      </w:r>
      <w:r w:rsidRPr="001320FE">
        <w:rPr>
          <w:rFonts w:ascii="Source Sans Pro" w:hAnsi="Source Sans Pro"/>
          <w:sz w:val="24"/>
          <w:szCs w:val="24"/>
          <w:lang w:val="en"/>
        </w:rPr>
        <w:t xml:space="preserve"> Issue 300,000 micro-credentials annually, aiming for 50% of all EU maintenance technicians to hold at least one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CU by 2030.</w:t>
      </w:r>
    </w:p>
    <w:p w14:paraId="5536E5E9" w14:textId="77777777" w:rsidR="001320FE" w:rsidRPr="001320FE" w:rsidRDefault="001320FE">
      <w:pPr>
        <w:numPr>
          <w:ilvl w:val="0"/>
          <w:numId w:val="2"/>
        </w:numPr>
        <w:jc w:val="both"/>
        <w:rPr>
          <w:rFonts w:ascii="Source Sans Pro" w:hAnsi="Source Sans Pro"/>
          <w:sz w:val="24"/>
          <w:szCs w:val="24"/>
          <w:lang w:val="en"/>
        </w:rPr>
      </w:pPr>
      <w:r w:rsidRPr="001320FE">
        <w:rPr>
          <w:rFonts w:ascii="Source Sans Pro" w:hAnsi="Source Sans Pro"/>
          <w:b/>
          <w:sz w:val="24"/>
          <w:szCs w:val="24"/>
          <w:lang w:val="en"/>
        </w:rPr>
        <w:t>Deliver Measurable Impact:</w:t>
      </w:r>
      <w:r w:rsidRPr="001320FE">
        <w:rPr>
          <w:rFonts w:ascii="Source Sans Pro" w:hAnsi="Source Sans Pro"/>
          <w:sz w:val="24"/>
          <w:szCs w:val="24"/>
          <w:lang w:val="en"/>
        </w:rPr>
        <w:t xml:space="preserve"> Achieve a measurable reduction in industrial downtime (target: -25%), create 150,000 new green-digital jobs, and save 5 million </w:t>
      </w:r>
      <w:proofErr w:type="spellStart"/>
      <w:r w:rsidRPr="001320FE">
        <w:rPr>
          <w:rFonts w:ascii="Source Sans Pro" w:hAnsi="Source Sans Pro"/>
          <w:sz w:val="24"/>
          <w:szCs w:val="24"/>
          <w:lang w:val="en"/>
        </w:rPr>
        <w:t>tonnes</w:t>
      </w:r>
      <w:proofErr w:type="spellEnd"/>
      <w:r w:rsidRPr="001320FE">
        <w:rPr>
          <w:rFonts w:ascii="Source Sans Pro" w:hAnsi="Source Sans Pro"/>
          <w:sz w:val="24"/>
          <w:szCs w:val="24"/>
          <w:lang w:val="en"/>
        </w:rPr>
        <w:t xml:space="preserve"> of CO₂ annually through LCA-optimized maintenance.</w:t>
      </w:r>
    </w:p>
    <w:p w14:paraId="361EFACE"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The ecosystem is built on four pillars: </w:t>
      </w:r>
      <w:r w:rsidRPr="001320FE">
        <w:rPr>
          <w:rFonts w:ascii="Source Sans Pro" w:hAnsi="Source Sans Pro"/>
          <w:b/>
          <w:sz w:val="24"/>
          <w:szCs w:val="24"/>
          <w:lang w:val="en"/>
        </w:rPr>
        <w:t>Competence Framework</w:t>
      </w:r>
      <w:r w:rsidRPr="001320FE">
        <w:rPr>
          <w:rFonts w:ascii="Source Sans Pro" w:hAnsi="Source Sans Pro"/>
          <w:sz w:val="24"/>
          <w:szCs w:val="24"/>
          <w:lang w:val="en"/>
        </w:rPr>
        <w:t xml:space="preserve"> (adopting the 4 CUs as EQF/ESCO descriptors), </w:t>
      </w:r>
      <w:r w:rsidRPr="001320FE">
        <w:rPr>
          <w:rFonts w:ascii="Source Sans Pro" w:hAnsi="Source Sans Pro"/>
          <w:b/>
          <w:sz w:val="24"/>
          <w:szCs w:val="24"/>
          <w:lang w:val="en"/>
        </w:rPr>
        <w:t>Delivery Infrastructure</w:t>
      </w:r>
      <w:r w:rsidRPr="001320FE">
        <w:rPr>
          <w:rFonts w:ascii="Source Sans Pro" w:hAnsi="Source Sans Pro"/>
          <w:sz w:val="24"/>
          <w:szCs w:val="24"/>
          <w:lang w:val="en"/>
        </w:rPr>
        <w:t xml:space="preserve"> (Teaching Factories, Digital Hub), </w:t>
      </w:r>
      <w:r w:rsidRPr="001320FE">
        <w:rPr>
          <w:rFonts w:ascii="Source Sans Pro" w:hAnsi="Source Sans Pro"/>
          <w:b/>
          <w:sz w:val="24"/>
          <w:szCs w:val="24"/>
          <w:lang w:val="en"/>
        </w:rPr>
        <w:t>Inclusion &amp; Regional Equity</w:t>
      </w:r>
      <w:r w:rsidRPr="001320FE">
        <w:rPr>
          <w:rFonts w:ascii="Source Sans Pro" w:hAnsi="Source Sans Pro"/>
          <w:sz w:val="24"/>
          <w:szCs w:val="24"/>
          <w:lang w:val="en"/>
        </w:rPr>
        <w:t xml:space="preserve"> (mandatory 30% quota for at-risk groups, 500 Rural Digital Hubs), and </w:t>
      </w:r>
      <w:r w:rsidRPr="001320FE">
        <w:rPr>
          <w:rFonts w:ascii="Source Sans Pro" w:hAnsi="Source Sans Pro"/>
          <w:b/>
          <w:sz w:val="24"/>
          <w:szCs w:val="24"/>
          <w:lang w:val="en"/>
        </w:rPr>
        <w:t>Impact Measurement</w:t>
      </w:r>
      <w:r w:rsidRPr="001320FE">
        <w:rPr>
          <w:rFonts w:ascii="Source Sans Pro" w:hAnsi="Source Sans Pro"/>
          <w:sz w:val="24"/>
          <w:szCs w:val="24"/>
          <w:lang w:val="en"/>
        </w:rPr>
        <w:t xml:space="preserve"> (a real-time KPI Dashboard).</w:t>
      </w:r>
    </w:p>
    <w:p w14:paraId="5D887E89"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This proposal represents a strategic, evidence-based investment in the EU's 'twin transition', ensuring our industrial workforce is skilled, resilient, and sustainable.</w:t>
      </w:r>
    </w:p>
    <w:p w14:paraId="5CDF081F" w14:textId="77777777" w:rsidR="001320FE" w:rsidRPr="001320FE" w:rsidRDefault="001320FE" w:rsidP="001320FE">
      <w:pPr>
        <w:jc w:val="both"/>
        <w:rPr>
          <w:lang w:val="en"/>
        </w:rPr>
      </w:pPr>
    </w:p>
    <w:p w14:paraId="586B3578" w14:textId="77777777" w:rsidR="001320FE" w:rsidRPr="001320FE" w:rsidRDefault="001320FE" w:rsidP="001320FE">
      <w:pPr>
        <w:pStyle w:val="Heading1"/>
        <w:jc w:val="both"/>
        <w:rPr>
          <w:lang w:val="en"/>
        </w:rPr>
      </w:pPr>
      <w:bookmarkStart w:id="4" w:name="_uchgbse9w7jz"/>
      <w:bookmarkStart w:id="5" w:name="_Toc212823912"/>
      <w:bookmarkEnd w:id="4"/>
      <w:r w:rsidRPr="001320FE">
        <w:rPr>
          <w:lang w:val="en"/>
        </w:rPr>
        <w:t>2. Policy Context and Justification</w:t>
      </w:r>
      <w:bookmarkEnd w:id="5"/>
    </w:p>
    <w:p w14:paraId="1A054D67" w14:textId="77777777" w:rsidR="001320FE" w:rsidRDefault="001320FE" w:rsidP="001320FE">
      <w:pPr>
        <w:jc w:val="both"/>
        <w:rPr>
          <w:b/>
          <w:lang w:val="en"/>
        </w:rPr>
      </w:pPr>
      <w:bookmarkStart w:id="6" w:name="_7b1jwd7onaq2"/>
      <w:bookmarkEnd w:id="6"/>
    </w:p>
    <w:p w14:paraId="23EF256C" w14:textId="2DD9DD23"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2.1. Anchor to EU Strategic Priorities</w:t>
      </w:r>
    </w:p>
    <w:p w14:paraId="287B5822"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The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-Eco proposal is not a standalone initiative but a critical implementation mechanism for several of the EU's core strategies. It provides the "how-to" for the "what" defined by existing policy.</w:t>
      </w:r>
    </w:p>
    <w:p w14:paraId="1EF0D729" w14:textId="77777777" w:rsidR="001320FE" w:rsidRPr="001320FE" w:rsidRDefault="001320FE">
      <w:pPr>
        <w:numPr>
          <w:ilvl w:val="0"/>
          <w:numId w:val="3"/>
        </w:numPr>
        <w:jc w:val="both"/>
        <w:rPr>
          <w:rFonts w:ascii="Source Sans Pro" w:hAnsi="Source Sans Pro"/>
          <w:sz w:val="24"/>
          <w:szCs w:val="24"/>
          <w:lang w:val="en"/>
        </w:rPr>
      </w:pPr>
      <w:r w:rsidRPr="001320FE">
        <w:rPr>
          <w:rFonts w:ascii="Source Sans Pro" w:hAnsi="Source Sans Pro"/>
          <w:b/>
          <w:sz w:val="24"/>
          <w:szCs w:val="24"/>
          <w:lang w:val="en"/>
        </w:rPr>
        <w:t>The European Skills Agenda (2020) &amp; Pact for Skills:</w:t>
      </w:r>
      <w:r w:rsidRPr="001320FE">
        <w:rPr>
          <w:rFonts w:ascii="Source Sans Pro" w:hAnsi="Source Sans Pro"/>
          <w:sz w:val="24"/>
          <w:szCs w:val="24"/>
          <w:lang w:val="en"/>
        </w:rPr>
        <w:t xml:space="preserve"> This proposal directly executes on the </w:t>
      </w:r>
      <w:proofErr w:type="gramStart"/>
      <w:r w:rsidRPr="001320FE">
        <w:rPr>
          <w:rFonts w:ascii="Source Sans Pro" w:hAnsi="Source Sans Pro"/>
          <w:sz w:val="24"/>
          <w:szCs w:val="24"/>
          <w:lang w:val="en"/>
        </w:rPr>
        <w:t>Agenda's</w:t>
      </w:r>
      <w:proofErr w:type="gramEnd"/>
      <w:r w:rsidRPr="001320FE">
        <w:rPr>
          <w:rFonts w:ascii="Source Sans Pro" w:hAnsi="Source Sans Pro"/>
          <w:sz w:val="24"/>
          <w:szCs w:val="24"/>
          <w:lang w:val="en"/>
        </w:rPr>
        <w:t xml:space="preserve"> flagship actions. It provides a scalable, quality-assured framework for </w:t>
      </w:r>
      <w:r w:rsidRPr="001320FE">
        <w:rPr>
          <w:rFonts w:ascii="Source Sans Pro" w:hAnsi="Source Sans Pro"/>
          <w:b/>
          <w:sz w:val="24"/>
          <w:szCs w:val="24"/>
          <w:lang w:val="en"/>
        </w:rPr>
        <w:t>micro-credentials</w:t>
      </w:r>
      <w:r w:rsidRPr="001320FE">
        <w:rPr>
          <w:rFonts w:ascii="Source Sans Pro" w:hAnsi="Source Sans Pro"/>
          <w:sz w:val="24"/>
          <w:szCs w:val="24"/>
          <w:lang w:val="en"/>
        </w:rPr>
        <w:t xml:space="preserve"> (Action 8), moving them from concept to large-scale reality. More importantly, it provides the curriculum and infrastructure to service the </w:t>
      </w:r>
      <w:r w:rsidRPr="001320FE">
        <w:rPr>
          <w:rFonts w:ascii="Source Sans Pro" w:hAnsi="Source Sans Pro"/>
          <w:b/>
          <w:sz w:val="24"/>
          <w:szCs w:val="24"/>
          <w:lang w:val="en"/>
        </w:rPr>
        <w:t>Pact for Skills</w:t>
      </w:r>
      <w:r w:rsidRPr="001320FE">
        <w:rPr>
          <w:rFonts w:ascii="Source Sans Pro" w:hAnsi="Source Sans Pro"/>
          <w:sz w:val="24"/>
          <w:szCs w:val="24"/>
          <w:lang w:val="en"/>
        </w:rPr>
        <w:t xml:space="preserve"> (Action 1), specifically for the high-priority Automotive, Microelectronics, and Manufacturing industrial ecosystems that have pledged to upskill millions of workers.</w:t>
      </w:r>
    </w:p>
    <w:p w14:paraId="187B0C53" w14:textId="77777777" w:rsidR="001320FE" w:rsidRPr="001320FE" w:rsidRDefault="001320FE">
      <w:pPr>
        <w:numPr>
          <w:ilvl w:val="0"/>
          <w:numId w:val="3"/>
        </w:numPr>
        <w:jc w:val="both"/>
        <w:rPr>
          <w:rFonts w:ascii="Source Sans Pro" w:hAnsi="Source Sans Pro"/>
          <w:sz w:val="24"/>
          <w:szCs w:val="24"/>
          <w:lang w:val="en"/>
        </w:rPr>
      </w:pPr>
      <w:r w:rsidRPr="001320FE">
        <w:rPr>
          <w:rFonts w:ascii="Source Sans Pro" w:hAnsi="Source Sans Pro"/>
          <w:b/>
          <w:sz w:val="24"/>
          <w:szCs w:val="24"/>
          <w:lang w:val="en"/>
        </w:rPr>
        <w:t>The Digital Education Action Plan (2021–2027):</w:t>
      </w:r>
      <w:r w:rsidRPr="001320FE">
        <w:rPr>
          <w:rFonts w:ascii="Source Sans Pro" w:hAnsi="Source Sans Pro"/>
          <w:sz w:val="24"/>
          <w:szCs w:val="24"/>
          <w:lang w:val="en"/>
        </w:rPr>
        <w:t xml:space="preserv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-Eco is a tangible application of the Action Plan's two strategic priorities. The </w:t>
      </w:r>
      <w:proofErr w:type="spellStart"/>
      <w:r w:rsidRPr="001320FE">
        <w:rPr>
          <w:rFonts w:ascii="Source Sans Pro" w:hAnsi="Source Sans Pro"/>
          <w:b/>
          <w:sz w:val="24"/>
          <w:szCs w:val="24"/>
          <w:lang w:val="en"/>
        </w:rPr>
        <w:t>PreVEnT</w:t>
      </w:r>
      <w:proofErr w:type="spellEnd"/>
      <w:r w:rsidRPr="001320FE">
        <w:rPr>
          <w:rFonts w:ascii="Source Sans Pro" w:hAnsi="Source Sans Pro"/>
          <w:b/>
          <w:sz w:val="24"/>
          <w:szCs w:val="24"/>
          <w:lang w:val="en"/>
        </w:rPr>
        <w:t xml:space="preserve"> Digital Hub</w:t>
      </w:r>
      <w:r w:rsidRPr="001320FE">
        <w:rPr>
          <w:rFonts w:ascii="Source Sans Pro" w:hAnsi="Source Sans Pro"/>
          <w:sz w:val="24"/>
          <w:szCs w:val="24"/>
          <w:lang w:val="en"/>
        </w:rPr>
        <w:t xml:space="preserve"> (Pillar 2), with its OERs, VR simulators, and AI modules, creates the "high-performing digital education ecosystem" (Priority 1) and delivers the "high-quality content" needed to "enhance digital skills" (Priority 2) for a specific, critical vocational sector.</w:t>
      </w:r>
    </w:p>
    <w:p w14:paraId="43948A1E" w14:textId="24793946" w:rsidR="001320FE" w:rsidRPr="001320FE" w:rsidRDefault="001320FE">
      <w:pPr>
        <w:numPr>
          <w:ilvl w:val="0"/>
          <w:numId w:val="3"/>
        </w:numPr>
        <w:jc w:val="both"/>
        <w:rPr>
          <w:rFonts w:ascii="Source Sans Pro" w:hAnsi="Source Sans Pro"/>
          <w:sz w:val="24"/>
          <w:szCs w:val="24"/>
          <w:lang w:val="en"/>
        </w:rPr>
      </w:pPr>
      <w:r w:rsidRPr="001320FE">
        <w:rPr>
          <w:rFonts w:ascii="Source Sans Pro" w:hAnsi="Source Sans Pro"/>
          <w:b/>
          <w:sz w:val="24"/>
          <w:szCs w:val="24"/>
          <w:lang w:val="en"/>
        </w:rPr>
        <w:t>The European Green Deal &amp; New Industrial Strategy:</w:t>
      </w:r>
      <w:r w:rsidRPr="001320FE">
        <w:rPr>
          <w:rFonts w:ascii="Source Sans Pro" w:hAnsi="Source Sans Pro"/>
          <w:sz w:val="24"/>
          <w:szCs w:val="24"/>
          <w:lang w:val="en"/>
        </w:rPr>
        <w:t xml:space="preserve"> This policy is the practical application of the 'twin transition'. It rejects the false choice between competitiveness and sustainability. By integrating Life Cycle Assessment (LCA) and advanced materials (CU3, CU4) directly into </w:t>
      </w:r>
      <w:proofErr w:type="gramStart"/>
      <w:r w:rsidRPr="001320FE">
        <w:rPr>
          <w:rFonts w:ascii="Source Sans Pro" w:hAnsi="Source Sans Pro"/>
          <w:sz w:val="24"/>
          <w:szCs w:val="24"/>
          <w:lang w:val="en"/>
        </w:rPr>
        <w:t>the technical</w:t>
      </w:r>
      <w:proofErr w:type="gramEnd"/>
      <w:r w:rsidRPr="001320FE">
        <w:rPr>
          <w:rFonts w:ascii="Source Sans Pro" w:hAnsi="Source Sans Pro"/>
          <w:sz w:val="24"/>
          <w:szCs w:val="24"/>
          <w:lang w:val="en"/>
        </w:rPr>
        <w:t xml:space="preserve"> training for AI and co</w:t>
      </w:r>
      <w:r>
        <w:rPr>
          <w:rFonts w:ascii="Source Sans Pro" w:hAnsi="Source Sans Pro"/>
          <w:sz w:val="24"/>
          <w:szCs w:val="24"/>
          <w:lang w:val="en"/>
        </w:rPr>
        <w:t>-</w:t>
      </w:r>
      <w:r w:rsidRPr="001320FE">
        <w:rPr>
          <w:rFonts w:ascii="Source Sans Pro" w:hAnsi="Source Sans Pro"/>
          <w:sz w:val="24"/>
          <w:szCs w:val="24"/>
          <w:lang w:val="en"/>
        </w:rPr>
        <w:t>bot</w:t>
      </w:r>
      <w:r>
        <w:rPr>
          <w:rFonts w:ascii="Source Sans Pro" w:hAnsi="Source Sans Pro"/>
          <w:sz w:val="24"/>
          <w:szCs w:val="24"/>
          <w:lang w:val="en"/>
        </w:rPr>
        <w:t>s</w:t>
      </w:r>
      <w:r w:rsidRPr="001320FE">
        <w:rPr>
          <w:rFonts w:ascii="Source Sans Pro" w:hAnsi="Source Sans Pro"/>
          <w:sz w:val="24"/>
          <w:szCs w:val="24"/>
          <w:lang w:val="en"/>
        </w:rPr>
        <w:t xml:space="preserve"> (CU1, CU2),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-Eco ensures that the </w:t>
      </w:r>
      <w:r w:rsidRPr="001320FE">
        <w:rPr>
          <w:rFonts w:ascii="Source Sans Pro" w:hAnsi="Source Sans Pro"/>
          <w:b/>
          <w:sz w:val="24"/>
          <w:szCs w:val="24"/>
          <w:lang w:val="en"/>
        </w:rPr>
        <w:t>'digital' transition directly serves the 'green' one</w:t>
      </w:r>
      <w:r w:rsidRPr="001320FE">
        <w:rPr>
          <w:rFonts w:ascii="Source Sans Pro" w:hAnsi="Source Sans Pro"/>
          <w:sz w:val="24"/>
          <w:szCs w:val="24"/>
          <w:lang w:val="en"/>
        </w:rPr>
        <w:t xml:space="preserve">. It moves sustainability from a top-down corporate reporting exercise (e.g., CSRD) to a bottom-up core competency of the technical workforce, operationalizing the </w:t>
      </w:r>
      <w:r w:rsidRPr="001320FE">
        <w:rPr>
          <w:rFonts w:ascii="Source Sans Pro" w:hAnsi="Source Sans Pro"/>
          <w:b/>
          <w:sz w:val="24"/>
          <w:szCs w:val="24"/>
          <w:lang w:val="en"/>
        </w:rPr>
        <w:t>Circular Economy Action Plan</w:t>
      </w:r>
      <w:r w:rsidRPr="001320FE">
        <w:rPr>
          <w:rFonts w:ascii="Source Sans Pro" w:hAnsi="Source Sans Pro"/>
          <w:sz w:val="24"/>
          <w:szCs w:val="24"/>
          <w:lang w:val="en"/>
        </w:rPr>
        <w:t xml:space="preserve"> on the factory floor.</w:t>
      </w:r>
    </w:p>
    <w:p w14:paraId="3483830E" w14:textId="475A98E6" w:rsidR="001320FE" w:rsidRPr="001320FE" w:rsidRDefault="001320FE">
      <w:pPr>
        <w:numPr>
          <w:ilvl w:val="0"/>
          <w:numId w:val="3"/>
        </w:numPr>
        <w:jc w:val="both"/>
        <w:rPr>
          <w:rFonts w:ascii="Source Sans Pro" w:hAnsi="Source Sans Pro"/>
          <w:sz w:val="24"/>
          <w:szCs w:val="24"/>
          <w:lang w:val="en"/>
        </w:rPr>
      </w:pPr>
      <w:r w:rsidRPr="001320FE">
        <w:rPr>
          <w:rFonts w:ascii="Source Sans Pro" w:hAnsi="Source Sans Pro"/>
          <w:b/>
          <w:sz w:val="24"/>
          <w:szCs w:val="24"/>
          <w:lang w:val="en"/>
        </w:rPr>
        <w:t>Industry 5.0 Framework:</w:t>
      </w:r>
      <w:r w:rsidRPr="001320FE">
        <w:rPr>
          <w:rFonts w:ascii="Source Sans Pro" w:hAnsi="Source Sans Pro"/>
          <w:sz w:val="24"/>
          <w:szCs w:val="24"/>
          <w:lang w:val="en"/>
        </w:rPr>
        <w:t xml:space="preserve"> The proposal fully embraces the </w:t>
      </w:r>
      <w:proofErr w:type="gramStart"/>
      <w:r w:rsidRPr="001320FE">
        <w:rPr>
          <w:rFonts w:ascii="Source Sans Pro" w:hAnsi="Source Sans Pro"/>
          <w:sz w:val="24"/>
          <w:szCs w:val="24"/>
          <w:lang w:val="en"/>
        </w:rPr>
        <w:t>Industry</w:t>
      </w:r>
      <w:proofErr w:type="gramEnd"/>
      <w:r w:rsidRPr="001320FE">
        <w:rPr>
          <w:rFonts w:ascii="Source Sans Pro" w:hAnsi="Source Sans Pro"/>
          <w:sz w:val="24"/>
          <w:szCs w:val="24"/>
          <w:lang w:val="en"/>
        </w:rPr>
        <w:t xml:space="preserve"> 5.0 vision by moving beyond mere efficiency. It is </w:t>
      </w:r>
      <w:r w:rsidRPr="001320FE">
        <w:rPr>
          <w:rFonts w:ascii="Source Sans Pro" w:hAnsi="Source Sans Pro"/>
          <w:b/>
          <w:sz w:val="24"/>
          <w:szCs w:val="24"/>
          <w:lang w:val="en"/>
        </w:rPr>
        <w:t>human-centric</w:t>
      </w:r>
      <w:r w:rsidRPr="001320FE">
        <w:rPr>
          <w:rFonts w:ascii="Source Sans Pro" w:hAnsi="Source Sans Pro"/>
          <w:sz w:val="24"/>
          <w:szCs w:val="24"/>
          <w:lang w:val="en"/>
        </w:rPr>
        <w:t xml:space="preserve"> (Pillar 3's inclusion quota, CU2's focus on safe HMI), </w:t>
      </w:r>
      <w:r w:rsidRPr="001320FE">
        <w:rPr>
          <w:rFonts w:ascii="Source Sans Pro" w:hAnsi="Source Sans Pro"/>
          <w:b/>
          <w:sz w:val="24"/>
          <w:szCs w:val="24"/>
          <w:lang w:val="en"/>
        </w:rPr>
        <w:t>sustainable</w:t>
      </w:r>
      <w:r w:rsidRPr="001320FE">
        <w:rPr>
          <w:rFonts w:ascii="Source Sans Pro" w:hAnsi="Source Sans Pro"/>
          <w:sz w:val="24"/>
          <w:szCs w:val="24"/>
          <w:lang w:val="en"/>
        </w:rPr>
        <w:t xml:space="preserve"> (Pillar 1's CUs 3 &amp; 4), and </w:t>
      </w:r>
      <w:r w:rsidRPr="001320FE">
        <w:rPr>
          <w:rFonts w:ascii="Source Sans Pro" w:hAnsi="Source Sans Pro"/>
          <w:b/>
          <w:sz w:val="24"/>
          <w:szCs w:val="24"/>
          <w:lang w:val="en"/>
        </w:rPr>
        <w:t>resilient</w:t>
      </w:r>
      <w:r w:rsidRPr="001320FE">
        <w:rPr>
          <w:rFonts w:ascii="Source Sans Pro" w:hAnsi="Source Sans Pro"/>
          <w:sz w:val="24"/>
          <w:szCs w:val="24"/>
          <w:lang w:val="en"/>
        </w:rPr>
        <w:t xml:space="preserve"> (the entire proposal's goal of reducing downtime). It upskills technicians to work </w:t>
      </w:r>
      <w:r w:rsidRPr="001320FE">
        <w:rPr>
          <w:rFonts w:ascii="Source Sans Pro" w:hAnsi="Source Sans Pro"/>
          <w:i/>
          <w:sz w:val="24"/>
          <w:szCs w:val="24"/>
          <w:lang w:val="en"/>
        </w:rPr>
        <w:t>with</w:t>
      </w:r>
      <w:r w:rsidRPr="001320FE">
        <w:rPr>
          <w:rFonts w:ascii="Source Sans Pro" w:hAnsi="Source Sans Pro"/>
          <w:sz w:val="24"/>
          <w:szCs w:val="24"/>
          <w:lang w:val="en"/>
        </w:rPr>
        <w:t xml:space="preserve"> AI and co</w:t>
      </w:r>
      <w:r w:rsidR="00447633">
        <w:rPr>
          <w:rFonts w:ascii="Source Sans Pro" w:hAnsi="Source Sans Pro"/>
          <w:sz w:val="24"/>
          <w:szCs w:val="24"/>
          <w:lang w:val="en"/>
        </w:rPr>
        <w:t>-</w:t>
      </w:r>
      <w:r w:rsidRPr="001320FE">
        <w:rPr>
          <w:rFonts w:ascii="Source Sans Pro" w:hAnsi="Source Sans Pro"/>
          <w:sz w:val="24"/>
          <w:szCs w:val="24"/>
          <w:lang w:val="en"/>
        </w:rPr>
        <w:t>bots, not be replaced by them.</w:t>
      </w:r>
    </w:p>
    <w:p w14:paraId="6C08B6C6" w14:textId="77777777" w:rsidR="001320FE" w:rsidRPr="001320FE" w:rsidRDefault="001320FE" w:rsidP="001320FE">
      <w:pPr>
        <w:jc w:val="both"/>
        <w:rPr>
          <w:rFonts w:ascii="Source Sans Pro" w:hAnsi="Source Sans Pro"/>
          <w:b/>
          <w:sz w:val="24"/>
          <w:szCs w:val="24"/>
          <w:lang w:val="en"/>
        </w:rPr>
      </w:pPr>
      <w:bookmarkStart w:id="7" w:name="_4i363windbgn"/>
      <w:bookmarkEnd w:id="7"/>
    </w:p>
    <w:p w14:paraId="344787FA" w14:textId="5877190C"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2.2. The Problem Statement: A Tripartite Crisis</w:t>
      </w:r>
    </w:p>
    <w:p w14:paraId="37385E22"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The urgency for this €1.445 billion proposal is defined by a 'tripartite crisis' of productivity, skills, and sustainability, which, if left unaddressed, will undermine the EU's industrial leadership and strategic autonomy.</w:t>
      </w:r>
    </w:p>
    <w:p w14:paraId="08800FCD"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A. The Productivity Crisis: The Multi-Billion Euro Cost of Downtime</w:t>
      </w:r>
      <w:r w:rsidRPr="001320FE">
        <w:rPr>
          <w:rFonts w:ascii="Source Sans Pro" w:hAnsi="Source Sans Pro"/>
          <w:sz w:val="24"/>
          <w:szCs w:val="24"/>
          <w:lang w:val="en"/>
        </w:rPr>
        <w:t xml:space="preserve"> Unplanned </w:t>
      </w:r>
      <w:proofErr w:type="gramStart"/>
      <w:r w:rsidRPr="001320FE">
        <w:rPr>
          <w:rFonts w:ascii="Source Sans Pro" w:hAnsi="Source Sans Pro"/>
          <w:sz w:val="24"/>
          <w:szCs w:val="24"/>
          <w:lang w:val="en"/>
        </w:rPr>
        <w:t>downtime</w:t>
      </w:r>
      <w:proofErr w:type="gramEnd"/>
      <w:r w:rsidRPr="001320FE">
        <w:rPr>
          <w:rFonts w:ascii="Source Sans Pro" w:hAnsi="Source Sans Pro"/>
          <w:sz w:val="24"/>
          <w:szCs w:val="24"/>
          <w:lang w:val="en"/>
        </w:rPr>
        <w:t xml:space="preserve"> is a critical drain on European competitiveness. While a single Eurostat figure is elusive, the aggregate picture is clear. Industrial firms, particularly the SMEs that form the backbone of the EU economy, suffer significant and disproportionate losses from machinery failure (European Commission, 2023a). Broader industry analysis confirms this, with studies showing that unplanned downtime can consume 5-20% of total manufacturing costs. This translates to </w:t>
      </w:r>
      <w:r w:rsidRPr="001320FE">
        <w:rPr>
          <w:rFonts w:ascii="Source Sans Pro" w:hAnsi="Source Sans Pro"/>
          <w:b/>
          <w:sz w:val="24"/>
          <w:szCs w:val="24"/>
          <w:lang w:val="en"/>
        </w:rPr>
        <w:t>tens of billions of euros in lost productivity</w:t>
      </w:r>
      <w:r w:rsidRPr="001320FE">
        <w:rPr>
          <w:rFonts w:ascii="Source Sans Pro" w:hAnsi="Source Sans Pro"/>
          <w:sz w:val="24"/>
          <w:szCs w:val="24"/>
          <w:lang w:val="en"/>
        </w:rPr>
        <w:t xml:space="preserve"> across the EU bloc </w:t>
      </w:r>
      <w:r w:rsidRPr="001320FE">
        <w:rPr>
          <w:rFonts w:ascii="Source Sans Pro" w:hAnsi="Source Sans Pro"/>
          <w:sz w:val="24"/>
          <w:szCs w:val="24"/>
          <w:lang w:val="en"/>
        </w:rPr>
        <w:lastRenderedPageBreak/>
        <w:t>annually (McKinsey, 2022). This figure does not just represent lost output; it includes cascading costs from supply chain disruptions, idle labor, and reputational damage.</w:t>
      </w:r>
    </w:p>
    <w:p w14:paraId="33EAEFF5"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B. The Skills Crisis: A Deep-Tech Competence Gap</w:t>
      </w:r>
      <w:r w:rsidRPr="001320FE">
        <w:rPr>
          <w:rFonts w:ascii="Source Sans Pro" w:hAnsi="Source Sans Pro"/>
          <w:sz w:val="24"/>
          <w:szCs w:val="24"/>
          <w:lang w:val="en"/>
        </w:rPr>
        <w:t xml:space="preserve"> The technology to solve the productivity crisis (AI, IoT sensors) exists, but the human capital to implement it does not. The EU faces a broad digital skills gap, with only 54% of the population possessing basic digital skills, far from the 2030 Digital Decade target of 80% (European Commission, 2023b). This gap is a chasm in specialized industrial applications. As </w:t>
      </w:r>
      <w:proofErr w:type="spellStart"/>
      <w:r w:rsidRPr="001320FE">
        <w:rPr>
          <w:rFonts w:ascii="Source Sans Pro" w:hAnsi="Source Sans Pro"/>
          <w:b/>
          <w:sz w:val="24"/>
          <w:szCs w:val="24"/>
          <w:lang w:val="en"/>
        </w:rPr>
        <w:t>Cedefop</w:t>
      </w:r>
      <w:proofErr w:type="spellEnd"/>
      <w:r w:rsidRPr="001320FE">
        <w:rPr>
          <w:rFonts w:ascii="Source Sans Pro" w:hAnsi="Source Sans Pro"/>
          <w:b/>
          <w:sz w:val="24"/>
          <w:szCs w:val="24"/>
          <w:lang w:val="en"/>
        </w:rPr>
        <w:t xml:space="preserve"> (2023) highlights, the green and digital transitions require a massive upskilling of the existing workforce</w:t>
      </w:r>
      <w:r w:rsidRPr="001320FE">
        <w:rPr>
          <w:rFonts w:ascii="Source Sans Pro" w:hAnsi="Source Sans Pro"/>
          <w:sz w:val="24"/>
          <w:szCs w:val="24"/>
          <w:lang w:val="en"/>
        </w:rPr>
        <w:t>, particularly in technical fields like AI and data analysis, where skills shortages are most profound. Current VET and HEI curricula are often years behind the technological curve, and internal corporate training is siloed and non-transferable. This "skills trap" is the single greatest barrier to Industry 4.0 adoption.</w:t>
      </w:r>
    </w:p>
    <w:p w14:paraId="57046497" w14:textId="77777777" w:rsidR="001320FE" w:rsidRDefault="001320FE" w:rsidP="001320FE">
      <w:pPr>
        <w:jc w:val="both"/>
        <w:rPr>
          <w:lang w:val="en"/>
        </w:rPr>
      </w:pPr>
      <w:r w:rsidRPr="001320FE">
        <w:rPr>
          <w:rFonts w:ascii="Source Sans Pro" w:hAnsi="Source Sans Pro"/>
          <w:b/>
          <w:sz w:val="24"/>
          <w:szCs w:val="24"/>
          <w:lang w:val="en"/>
        </w:rPr>
        <w:t>C. The Sustainability Crisis: The Environmental Cost of Inefficiency</w:t>
      </w:r>
      <w:r w:rsidRPr="001320FE">
        <w:rPr>
          <w:rFonts w:ascii="Source Sans Pro" w:hAnsi="Source Sans Pro"/>
          <w:sz w:val="24"/>
          <w:szCs w:val="24"/>
          <w:lang w:val="en"/>
        </w:rPr>
        <w:t xml:space="preserve"> The "run-to-fail" maintenance paradigm is not just costly; it is environmentally wasteful. The </w:t>
      </w:r>
      <w:r w:rsidRPr="001320FE">
        <w:rPr>
          <w:rFonts w:ascii="Source Sans Pro" w:hAnsi="Source Sans Pro"/>
          <w:b/>
          <w:sz w:val="24"/>
          <w:szCs w:val="24"/>
          <w:lang w:val="en"/>
        </w:rPr>
        <w:t>European Environment Agency (2023) identifies the industrial sector as a primary source of emissions and resource consumption</w:t>
      </w:r>
      <w:r w:rsidRPr="001320FE">
        <w:rPr>
          <w:rFonts w:ascii="Source Sans Pro" w:hAnsi="Source Sans Pro"/>
          <w:sz w:val="24"/>
          <w:szCs w:val="24"/>
          <w:lang w:val="en"/>
        </w:rPr>
        <w:t xml:space="preserve">. Suboptimal equipment performance, inefficient processes, and a linear (non-circular) approach to parts and maintenance contribute significantly to this environmental burden. This directly contravenes the </w:t>
      </w:r>
      <w:proofErr w:type="spellStart"/>
      <w:r w:rsidRPr="001320FE">
        <w:rPr>
          <w:rFonts w:ascii="Source Sans Pro" w:hAnsi="Source Sans Pro"/>
          <w:b/>
          <w:sz w:val="24"/>
          <w:szCs w:val="24"/>
          <w:lang w:val="en"/>
        </w:rPr>
        <w:t>Ecodesign</w:t>
      </w:r>
      <w:proofErr w:type="spellEnd"/>
      <w:r w:rsidRPr="001320FE">
        <w:rPr>
          <w:rFonts w:ascii="Source Sans Pro" w:hAnsi="Source Sans Pro"/>
          <w:b/>
          <w:sz w:val="24"/>
          <w:szCs w:val="24"/>
          <w:lang w:val="en"/>
        </w:rPr>
        <w:t xml:space="preserve"> for Sustainable Products Regulation (ESPR)</w:t>
      </w:r>
      <w:r w:rsidRPr="001320FE">
        <w:rPr>
          <w:rFonts w:ascii="Source Sans Pro" w:hAnsi="Source Sans Pro"/>
          <w:sz w:val="24"/>
          <w:szCs w:val="24"/>
          <w:lang w:val="en"/>
        </w:rPr>
        <w:t xml:space="preserve">, which demands products be durable, reliable, and maintainable.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-Eco is the skills-based answer to this regulatory demand, training technicians to perform the lifecycle-optimized maintenance that ESPR envisions.</w:t>
      </w:r>
    </w:p>
    <w:p w14:paraId="65E77D0F" w14:textId="77777777" w:rsidR="001320FE" w:rsidRPr="001320FE" w:rsidRDefault="001320FE" w:rsidP="001320FE">
      <w:pPr>
        <w:jc w:val="both"/>
        <w:rPr>
          <w:lang w:val="en"/>
        </w:rPr>
      </w:pPr>
    </w:p>
    <w:p w14:paraId="5E93E5D9" w14:textId="77777777" w:rsidR="001320FE" w:rsidRPr="001320FE" w:rsidRDefault="001320FE" w:rsidP="001320FE">
      <w:pPr>
        <w:pStyle w:val="Heading1"/>
        <w:jc w:val="both"/>
        <w:rPr>
          <w:lang w:val="en"/>
        </w:rPr>
      </w:pPr>
      <w:bookmarkStart w:id="8" w:name="_lcpmx6i6lofi"/>
      <w:bookmarkStart w:id="9" w:name="_Toc212823913"/>
      <w:bookmarkEnd w:id="8"/>
      <w:r w:rsidRPr="001320FE">
        <w:rPr>
          <w:lang w:val="en"/>
        </w:rPr>
        <w:t>3. Policy Vision and Guiding Principles</w:t>
      </w:r>
      <w:bookmarkEnd w:id="9"/>
    </w:p>
    <w:p w14:paraId="51BCF896" w14:textId="77777777" w:rsidR="00447633" w:rsidRDefault="00447633" w:rsidP="001320FE">
      <w:pPr>
        <w:jc w:val="both"/>
        <w:rPr>
          <w:b/>
          <w:lang w:val="en"/>
        </w:rPr>
      </w:pPr>
      <w:bookmarkStart w:id="10" w:name="_nmhh39wphr5c"/>
      <w:bookmarkEnd w:id="10"/>
    </w:p>
    <w:p w14:paraId="6AE58C5F" w14:textId="79A889D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3.1. Vision Statement</w:t>
      </w:r>
    </w:p>
    <w:p w14:paraId="034710DA"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To create a </w:t>
      </w:r>
      <w:r w:rsidRPr="001320FE">
        <w:rPr>
          <w:rFonts w:ascii="Source Sans Pro" w:hAnsi="Source Sans Pro"/>
          <w:b/>
          <w:sz w:val="24"/>
          <w:szCs w:val="24"/>
          <w:lang w:val="en"/>
        </w:rPr>
        <w:t>scalable, interoperable, and inclusive Pan-European Higher Education and Adult Learning Ecosystem</w:t>
      </w:r>
      <w:r w:rsidRPr="001320FE">
        <w:rPr>
          <w:rFonts w:ascii="Source Sans Pro" w:hAnsi="Source Sans Pro"/>
          <w:sz w:val="24"/>
          <w:szCs w:val="24"/>
          <w:lang w:val="en"/>
        </w:rPr>
        <w:t xml:space="preserve"> that permanently embeds deep-tech predictive maintenance and lifecycle management as a core competency within the European industrial workforce, ensuring the EU's global leadership in a human-centric, sustainable, and resilient industrial future.</w:t>
      </w:r>
    </w:p>
    <w:p w14:paraId="6FD7B3C9" w14:textId="77777777" w:rsidR="00447633" w:rsidRPr="00447633" w:rsidRDefault="00447633" w:rsidP="001320FE">
      <w:pPr>
        <w:jc w:val="both"/>
        <w:rPr>
          <w:rFonts w:ascii="Source Sans Pro" w:hAnsi="Source Sans Pro"/>
          <w:b/>
          <w:sz w:val="24"/>
          <w:szCs w:val="24"/>
          <w:lang w:val="en"/>
        </w:rPr>
      </w:pPr>
      <w:bookmarkStart w:id="11" w:name="_yfgpfwtzvx6g"/>
      <w:bookmarkEnd w:id="11"/>
    </w:p>
    <w:p w14:paraId="585E23E1" w14:textId="59997984"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3.2. Guiding Principles</w:t>
      </w:r>
    </w:p>
    <w:p w14:paraId="2E9360C8" w14:textId="77777777" w:rsidR="001320FE" w:rsidRPr="001320FE" w:rsidRDefault="001320FE">
      <w:pPr>
        <w:numPr>
          <w:ilvl w:val="0"/>
          <w:numId w:val="4"/>
        </w:numPr>
        <w:jc w:val="both"/>
        <w:rPr>
          <w:rFonts w:ascii="Source Sans Pro" w:hAnsi="Source Sans Pro"/>
          <w:sz w:val="24"/>
          <w:szCs w:val="24"/>
          <w:lang w:val="en"/>
        </w:rPr>
      </w:pPr>
      <w:r w:rsidRPr="001320FE">
        <w:rPr>
          <w:rFonts w:ascii="Source Sans Pro" w:hAnsi="Source Sans Pro"/>
          <w:b/>
          <w:sz w:val="24"/>
          <w:szCs w:val="24"/>
          <w:lang w:val="en"/>
        </w:rPr>
        <w:t>Public-Private Partnership:</w:t>
      </w:r>
      <w:r w:rsidRPr="001320FE">
        <w:rPr>
          <w:rFonts w:ascii="Source Sans Pro" w:hAnsi="Source Sans Pro"/>
          <w:sz w:val="24"/>
          <w:szCs w:val="24"/>
          <w:lang w:val="en"/>
        </w:rPr>
        <w:t xml:space="preserve"> The ecosystem is not purely government-led. It is a "quadruple helix" model where industry provides the learning environment (Teaching Factories), academia provides the pedagogical rigor (CUs, QA), government provides the funding and legal framework (ESF+, EQF), and civil society ensures inclusion.</w:t>
      </w:r>
    </w:p>
    <w:p w14:paraId="66F4B4AB" w14:textId="77777777" w:rsidR="001320FE" w:rsidRPr="001320FE" w:rsidRDefault="001320FE">
      <w:pPr>
        <w:numPr>
          <w:ilvl w:val="0"/>
          <w:numId w:val="4"/>
        </w:numPr>
        <w:jc w:val="both"/>
        <w:rPr>
          <w:rFonts w:ascii="Source Sans Pro" w:hAnsi="Source Sans Pro"/>
          <w:sz w:val="24"/>
          <w:szCs w:val="24"/>
          <w:lang w:val="en"/>
        </w:rPr>
      </w:pPr>
      <w:r w:rsidRPr="001320FE">
        <w:rPr>
          <w:rFonts w:ascii="Source Sans Pro" w:hAnsi="Source Sans Pro"/>
          <w:b/>
          <w:sz w:val="24"/>
          <w:szCs w:val="24"/>
          <w:lang w:val="en"/>
        </w:rPr>
        <w:t>Human-Centricity (Industry 5.0):</w:t>
      </w:r>
      <w:r w:rsidRPr="001320FE">
        <w:rPr>
          <w:rFonts w:ascii="Source Sans Pro" w:hAnsi="Source Sans Pro"/>
          <w:sz w:val="24"/>
          <w:szCs w:val="24"/>
          <w:lang w:val="en"/>
        </w:rPr>
        <w:t xml:space="preserve"> The goal is not to automate the technician, but to augment them. The CUs are designed to empower workers with AI and </w:t>
      </w:r>
      <w:proofErr w:type="spellStart"/>
      <w:r w:rsidRPr="001320FE">
        <w:rPr>
          <w:rFonts w:ascii="Source Sans Pro" w:hAnsi="Source Sans Pro"/>
          <w:sz w:val="24"/>
          <w:szCs w:val="24"/>
          <w:lang w:val="en"/>
        </w:rPr>
        <w:t>cobotics</w:t>
      </w:r>
      <w:proofErr w:type="spellEnd"/>
      <w:r w:rsidRPr="001320FE">
        <w:rPr>
          <w:rFonts w:ascii="Source Sans Pro" w:hAnsi="Source Sans Pro"/>
          <w:sz w:val="24"/>
          <w:szCs w:val="24"/>
          <w:lang w:val="en"/>
        </w:rPr>
        <w:t xml:space="preserve"> as tools, enhancing their skills, safety (CU2), and decision-making autonomy.</w:t>
      </w:r>
    </w:p>
    <w:p w14:paraId="54C3E00F" w14:textId="77777777" w:rsidR="001320FE" w:rsidRPr="001320FE" w:rsidRDefault="001320FE">
      <w:pPr>
        <w:numPr>
          <w:ilvl w:val="0"/>
          <w:numId w:val="4"/>
        </w:numPr>
        <w:jc w:val="both"/>
        <w:rPr>
          <w:rFonts w:ascii="Source Sans Pro" w:hAnsi="Source Sans Pro"/>
          <w:sz w:val="24"/>
          <w:szCs w:val="24"/>
          <w:lang w:val="en"/>
        </w:rPr>
      </w:pPr>
      <w:r w:rsidRPr="001320FE">
        <w:rPr>
          <w:rFonts w:ascii="Source Sans Pro" w:hAnsi="Source Sans Pro"/>
          <w:b/>
          <w:sz w:val="24"/>
          <w:szCs w:val="24"/>
          <w:lang w:val="en"/>
        </w:rPr>
        <w:t>Radical Inclusivity:</w:t>
      </w:r>
      <w:r w:rsidRPr="001320FE">
        <w:rPr>
          <w:rFonts w:ascii="Source Sans Pro" w:hAnsi="Source Sans Pro"/>
          <w:sz w:val="24"/>
          <w:szCs w:val="24"/>
          <w:lang w:val="en"/>
        </w:rPr>
        <w:t xml:space="preserve"> The 'twin transition' must be a just transition. This ecosystem is designed from the ground up (Pillar 3) to actively identify, recruit, and support at-risk groups (NEETs, 50+, migrants, rural populations) to ensure they are not left behind.</w:t>
      </w:r>
    </w:p>
    <w:p w14:paraId="7977746A" w14:textId="77777777" w:rsidR="001320FE" w:rsidRPr="001320FE" w:rsidRDefault="001320FE">
      <w:pPr>
        <w:numPr>
          <w:ilvl w:val="0"/>
          <w:numId w:val="4"/>
        </w:numPr>
        <w:jc w:val="both"/>
        <w:rPr>
          <w:rFonts w:ascii="Source Sans Pro" w:hAnsi="Source Sans Pro"/>
          <w:sz w:val="24"/>
          <w:szCs w:val="24"/>
          <w:lang w:val="en"/>
        </w:rPr>
      </w:pPr>
      <w:r w:rsidRPr="001320FE">
        <w:rPr>
          <w:rFonts w:ascii="Source Sans Pro" w:hAnsi="Source Sans Pro"/>
          <w:b/>
          <w:sz w:val="24"/>
          <w:szCs w:val="24"/>
          <w:lang w:val="en"/>
        </w:rPr>
        <w:lastRenderedPageBreak/>
        <w:t>Scalability &amp; Interoperability:</w:t>
      </w:r>
      <w:r w:rsidRPr="001320FE">
        <w:rPr>
          <w:rFonts w:ascii="Source Sans Pro" w:hAnsi="Source Sans Pro"/>
          <w:sz w:val="24"/>
          <w:szCs w:val="24"/>
          <w:lang w:val="en"/>
        </w:rPr>
        <w:t xml:space="preserve"> The ecosystem is built on a common language (Pillar 1 CUs) and common digital standards (OERs, blockchain micro-credentials) to allow for seamless scaling and portability of skills across all Member States, VET/HEI providers, and industries.</w:t>
      </w:r>
    </w:p>
    <w:p w14:paraId="7D54E505" w14:textId="77777777" w:rsidR="00447633" w:rsidRPr="00447633" w:rsidRDefault="00447633" w:rsidP="001320FE">
      <w:pPr>
        <w:jc w:val="both"/>
        <w:rPr>
          <w:rFonts w:ascii="Source Sans Pro" w:hAnsi="Source Sans Pro"/>
          <w:b/>
          <w:sz w:val="24"/>
          <w:szCs w:val="24"/>
          <w:lang w:val="en"/>
        </w:rPr>
      </w:pPr>
      <w:bookmarkStart w:id="12" w:name="_nn2ccluafmkv"/>
      <w:bookmarkEnd w:id="12"/>
    </w:p>
    <w:p w14:paraId="76BA05F5" w14:textId="4119295E"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3.3. Target Beneficiaries</w:t>
      </w:r>
    </w:p>
    <w:p w14:paraId="59838728"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This proposal is designed to serve a diverse set of learners and stakeholders:</w:t>
      </w:r>
    </w:p>
    <w:p w14:paraId="25E4ECD0" w14:textId="77777777" w:rsidR="001320FE" w:rsidRPr="001320FE" w:rsidRDefault="001320FE">
      <w:pPr>
        <w:numPr>
          <w:ilvl w:val="0"/>
          <w:numId w:val="5"/>
        </w:numPr>
        <w:jc w:val="both"/>
        <w:rPr>
          <w:rFonts w:ascii="Source Sans Pro" w:hAnsi="Source Sans Pro"/>
          <w:sz w:val="24"/>
          <w:szCs w:val="24"/>
          <w:lang w:val="en"/>
        </w:rPr>
      </w:pPr>
      <w:r w:rsidRPr="001320FE">
        <w:rPr>
          <w:rFonts w:ascii="Source Sans Pro" w:hAnsi="Source Sans Pro"/>
          <w:b/>
          <w:sz w:val="24"/>
          <w:szCs w:val="24"/>
          <w:lang w:val="en"/>
        </w:rPr>
        <w:t>Primary Learners:</w:t>
      </w:r>
    </w:p>
    <w:p w14:paraId="5A5DB4E3" w14:textId="77777777" w:rsidR="001320FE" w:rsidRPr="001320FE" w:rsidRDefault="001320FE">
      <w:pPr>
        <w:numPr>
          <w:ilvl w:val="1"/>
          <w:numId w:val="5"/>
        </w:numPr>
        <w:jc w:val="both"/>
        <w:rPr>
          <w:rFonts w:ascii="Source Sans Pro" w:hAnsi="Source Sans Pro"/>
          <w:sz w:val="24"/>
          <w:szCs w:val="24"/>
          <w:lang w:val="en"/>
        </w:rPr>
      </w:pPr>
      <w:r w:rsidRPr="001320FE">
        <w:rPr>
          <w:rFonts w:ascii="Source Sans Pro" w:hAnsi="Source Sans Pro"/>
          <w:b/>
          <w:sz w:val="24"/>
          <w:szCs w:val="24"/>
          <w:lang w:val="en"/>
        </w:rPr>
        <w:t>The VET Student (EQF 3-5):</w:t>
      </w:r>
      <w:r w:rsidRPr="001320FE">
        <w:rPr>
          <w:rFonts w:ascii="Source Sans Pro" w:hAnsi="Source Sans Pro"/>
          <w:sz w:val="24"/>
          <w:szCs w:val="24"/>
          <w:lang w:val="en"/>
        </w:rPr>
        <w:t xml:space="preserve"> Will gain access to advanced, ECTS-backed modules (e.g., CU2) that make them immediately employable.</w:t>
      </w:r>
    </w:p>
    <w:p w14:paraId="57F153B0" w14:textId="77777777" w:rsidR="001320FE" w:rsidRPr="001320FE" w:rsidRDefault="001320FE">
      <w:pPr>
        <w:numPr>
          <w:ilvl w:val="1"/>
          <w:numId w:val="5"/>
        </w:numPr>
        <w:jc w:val="both"/>
        <w:rPr>
          <w:rFonts w:ascii="Source Sans Pro" w:hAnsi="Source Sans Pro"/>
          <w:sz w:val="24"/>
          <w:szCs w:val="24"/>
          <w:lang w:val="en"/>
        </w:rPr>
      </w:pPr>
      <w:r w:rsidRPr="001320FE">
        <w:rPr>
          <w:rFonts w:ascii="Source Sans Pro" w:hAnsi="Source Sans Pro"/>
          <w:b/>
          <w:sz w:val="24"/>
          <w:szCs w:val="24"/>
          <w:lang w:val="en"/>
        </w:rPr>
        <w:t>The Existing Technician (50+):</w:t>
      </w:r>
      <w:r w:rsidRPr="001320FE">
        <w:rPr>
          <w:rFonts w:ascii="Source Sans Pro" w:hAnsi="Source Sans Pro"/>
          <w:sz w:val="24"/>
          <w:szCs w:val="24"/>
          <w:lang w:val="en"/>
        </w:rPr>
        <w:t xml:space="preserve"> Will be upskilled via ESF+ vouchers, gaining CUs to secure their long-term employability.</w:t>
      </w:r>
    </w:p>
    <w:p w14:paraId="60245E01" w14:textId="77777777" w:rsidR="001320FE" w:rsidRPr="001320FE" w:rsidRDefault="001320FE">
      <w:pPr>
        <w:numPr>
          <w:ilvl w:val="1"/>
          <w:numId w:val="5"/>
        </w:numPr>
        <w:jc w:val="both"/>
        <w:rPr>
          <w:rFonts w:ascii="Source Sans Pro" w:hAnsi="Source Sans Pro"/>
          <w:sz w:val="24"/>
          <w:szCs w:val="24"/>
          <w:lang w:val="en"/>
        </w:rPr>
      </w:pPr>
      <w:r w:rsidRPr="001320FE">
        <w:rPr>
          <w:rFonts w:ascii="Source Sans Pro" w:hAnsi="Source Sans Pro"/>
          <w:b/>
          <w:sz w:val="24"/>
          <w:szCs w:val="24"/>
          <w:lang w:val="en"/>
        </w:rPr>
        <w:t>The HEI Engineer (EQF 6-7):</w:t>
      </w:r>
      <w:r w:rsidRPr="001320FE">
        <w:rPr>
          <w:rFonts w:ascii="Source Sans Pro" w:hAnsi="Source Sans Pro"/>
          <w:sz w:val="24"/>
          <w:szCs w:val="24"/>
          <w:lang w:val="en"/>
        </w:rPr>
        <w:t xml:space="preserve"> Will use the Teaching Factories and advanced CUs (e.g., CU1, CU4) for practical, work-based learning that bridges the gap between theory and shop-floor reality.</w:t>
      </w:r>
    </w:p>
    <w:p w14:paraId="6E3728BF" w14:textId="77777777" w:rsidR="001320FE" w:rsidRPr="001320FE" w:rsidRDefault="001320FE">
      <w:pPr>
        <w:numPr>
          <w:ilvl w:val="0"/>
          <w:numId w:val="5"/>
        </w:numPr>
        <w:jc w:val="both"/>
        <w:rPr>
          <w:rFonts w:ascii="Source Sans Pro" w:hAnsi="Source Sans Pro"/>
          <w:sz w:val="24"/>
          <w:szCs w:val="24"/>
          <w:lang w:val="en"/>
        </w:rPr>
      </w:pPr>
      <w:r w:rsidRPr="001320FE">
        <w:rPr>
          <w:rFonts w:ascii="Source Sans Pro" w:hAnsi="Source Sans Pro"/>
          <w:b/>
          <w:sz w:val="24"/>
          <w:szCs w:val="24"/>
          <w:lang w:val="en"/>
        </w:rPr>
        <w:t>Secondary Beneficiaries:</w:t>
      </w:r>
    </w:p>
    <w:p w14:paraId="5523262A" w14:textId="77777777" w:rsidR="001320FE" w:rsidRPr="001320FE" w:rsidRDefault="001320FE">
      <w:pPr>
        <w:numPr>
          <w:ilvl w:val="1"/>
          <w:numId w:val="5"/>
        </w:numPr>
        <w:jc w:val="both"/>
        <w:rPr>
          <w:rFonts w:ascii="Source Sans Pro" w:hAnsi="Source Sans Pro"/>
          <w:sz w:val="24"/>
          <w:szCs w:val="24"/>
          <w:lang w:val="en"/>
        </w:rPr>
      </w:pPr>
      <w:r w:rsidRPr="001320FE">
        <w:rPr>
          <w:rFonts w:ascii="Source Sans Pro" w:hAnsi="Source Sans Pro"/>
          <w:b/>
          <w:sz w:val="24"/>
          <w:szCs w:val="24"/>
          <w:lang w:val="en"/>
        </w:rPr>
        <w:t>SMEs:</w:t>
      </w:r>
      <w:r w:rsidRPr="001320FE">
        <w:rPr>
          <w:rFonts w:ascii="Source Sans Pro" w:hAnsi="Source Sans Pro"/>
          <w:sz w:val="24"/>
          <w:szCs w:val="24"/>
          <w:lang w:val="en"/>
        </w:rPr>
        <w:t xml:space="preserve"> Will gain access to a skilled workforce and free OER/LCA tools, enabling them to adopt </w:t>
      </w:r>
      <w:proofErr w:type="spellStart"/>
      <w:r w:rsidRPr="001320FE">
        <w:rPr>
          <w:rFonts w:ascii="Source Sans Pro" w:hAnsi="Source Sans Pro"/>
          <w:sz w:val="24"/>
          <w:szCs w:val="24"/>
          <w:lang w:val="en"/>
        </w:rPr>
        <w:t>PdM</w:t>
      </w:r>
      <w:proofErr w:type="spellEnd"/>
      <w:r w:rsidRPr="001320FE">
        <w:rPr>
          <w:rFonts w:ascii="Source Sans Pro" w:hAnsi="Source Sans Pro"/>
          <w:sz w:val="24"/>
          <w:szCs w:val="24"/>
          <w:lang w:val="en"/>
        </w:rPr>
        <w:t xml:space="preserve"> technologies they previously could not afford.</w:t>
      </w:r>
    </w:p>
    <w:p w14:paraId="407BFFFC" w14:textId="77777777" w:rsidR="001320FE" w:rsidRPr="001320FE" w:rsidRDefault="001320FE">
      <w:pPr>
        <w:numPr>
          <w:ilvl w:val="1"/>
          <w:numId w:val="5"/>
        </w:numPr>
        <w:jc w:val="both"/>
        <w:rPr>
          <w:rFonts w:ascii="Source Sans Pro" w:hAnsi="Source Sans Pro"/>
          <w:sz w:val="24"/>
          <w:szCs w:val="24"/>
          <w:lang w:val="en"/>
        </w:rPr>
      </w:pPr>
      <w:r w:rsidRPr="001320FE">
        <w:rPr>
          <w:rFonts w:ascii="Source Sans Pro" w:hAnsi="Source Sans Pro"/>
          <w:b/>
          <w:sz w:val="24"/>
          <w:szCs w:val="24"/>
          <w:lang w:val="en"/>
        </w:rPr>
        <w:t>Large Enterprises:</w:t>
      </w:r>
      <w:r w:rsidRPr="001320FE">
        <w:rPr>
          <w:rFonts w:ascii="Source Sans Pro" w:hAnsi="Source Sans Pro"/>
          <w:sz w:val="24"/>
          <w:szCs w:val="24"/>
          <w:lang w:val="en"/>
        </w:rPr>
        <w:t xml:space="preserve"> Will host Teaching Factories, reducing their own training costs and co-developing talent for their specific needs.</w:t>
      </w:r>
    </w:p>
    <w:p w14:paraId="70184182" w14:textId="77777777" w:rsidR="001320FE" w:rsidRPr="00447633" w:rsidRDefault="001320FE">
      <w:pPr>
        <w:numPr>
          <w:ilvl w:val="1"/>
          <w:numId w:val="5"/>
        </w:numPr>
        <w:jc w:val="both"/>
        <w:rPr>
          <w:rFonts w:ascii="Source Sans Pro" w:hAnsi="Source Sans Pro"/>
          <w:sz w:val="24"/>
          <w:szCs w:val="24"/>
          <w:lang w:val="en"/>
        </w:rPr>
      </w:pPr>
      <w:r w:rsidRPr="001320FE">
        <w:rPr>
          <w:rFonts w:ascii="Source Sans Pro" w:hAnsi="Source Sans Pro"/>
          <w:b/>
          <w:sz w:val="24"/>
          <w:szCs w:val="24"/>
          <w:lang w:val="en"/>
        </w:rPr>
        <w:t>National Education Systems:</w:t>
      </w:r>
      <w:r w:rsidRPr="001320FE">
        <w:rPr>
          <w:rFonts w:ascii="Source Sans Pro" w:hAnsi="Source Sans Pro"/>
          <w:sz w:val="24"/>
          <w:szCs w:val="24"/>
          <w:lang w:val="en"/>
        </w:rPr>
        <w:t xml:space="preserve"> Will receive a validated, ready-to-deploy, "deep-tech" curriculum update for their VET and HEI programs.</w:t>
      </w:r>
    </w:p>
    <w:p w14:paraId="0592BF46" w14:textId="77777777" w:rsidR="001320FE" w:rsidRPr="001320FE" w:rsidRDefault="001320FE" w:rsidP="001320FE">
      <w:pPr>
        <w:ind w:left="1440"/>
        <w:jc w:val="both"/>
        <w:rPr>
          <w:lang w:val="en"/>
        </w:rPr>
      </w:pPr>
    </w:p>
    <w:p w14:paraId="6D9605B2" w14:textId="77777777" w:rsidR="001320FE" w:rsidRPr="001320FE" w:rsidRDefault="001320FE" w:rsidP="001320FE">
      <w:pPr>
        <w:pStyle w:val="Heading1"/>
        <w:jc w:val="both"/>
        <w:rPr>
          <w:lang w:val="en"/>
        </w:rPr>
      </w:pPr>
      <w:bookmarkStart w:id="13" w:name="_bl46zi86q1y0"/>
      <w:bookmarkStart w:id="14" w:name="_Toc212823914"/>
      <w:bookmarkEnd w:id="13"/>
      <w:r w:rsidRPr="001320FE">
        <w:rPr>
          <w:lang w:val="en"/>
        </w:rPr>
        <w:t>4. Legislative and Funding Instruments</w:t>
      </w:r>
      <w:bookmarkEnd w:id="14"/>
    </w:p>
    <w:p w14:paraId="31A89D85" w14:textId="77777777" w:rsidR="00447633" w:rsidRDefault="00447633" w:rsidP="001320FE">
      <w:pPr>
        <w:jc w:val="both"/>
        <w:rPr>
          <w:b/>
          <w:lang w:val="en"/>
        </w:rPr>
      </w:pPr>
      <w:bookmarkStart w:id="15" w:name="_jshbirnfzyaz"/>
      <w:bookmarkEnd w:id="15"/>
    </w:p>
    <w:p w14:paraId="2F65660A" w14:textId="60EE510F"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4.1. A Blended, Multi-Instrument Approach</w:t>
      </w:r>
    </w:p>
    <w:p w14:paraId="60086885" w14:textId="77777777" w:rsidR="001320FE" w:rsidRPr="00447633"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A system-level challenge requires a system-level funding solution. A single funding line is insufficient. We propose a blended financing model of </w:t>
      </w:r>
      <w:r w:rsidRPr="001320FE">
        <w:rPr>
          <w:rFonts w:ascii="Source Sans Pro" w:hAnsi="Source Sans Pro"/>
          <w:b/>
          <w:sz w:val="24"/>
          <w:szCs w:val="24"/>
          <w:lang w:val="en"/>
        </w:rPr>
        <w:t>€1.445 billion (2028-2034)</w:t>
      </w:r>
      <w:r w:rsidRPr="001320FE">
        <w:rPr>
          <w:rFonts w:ascii="Source Sans Pro" w:hAnsi="Source Sans Pro"/>
          <w:sz w:val="24"/>
          <w:szCs w:val="24"/>
          <w:lang w:val="en"/>
        </w:rPr>
        <w:t xml:space="preserve"> leveraging four key EU instruments:</w:t>
      </w:r>
    </w:p>
    <w:p w14:paraId="6FE38986" w14:textId="77777777" w:rsidR="00447633" w:rsidRPr="00447633" w:rsidRDefault="00447633" w:rsidP="001320FE">
      <w:pPr>
        <w:jc w:val="both"/>
        <w:rPr>
          <w:rFonts w:ascii="Source Sans Pro" w:hAnsi="Source Sans Pro"/>
          <w:sz w:val="24"/>
          <w:szCs w:val="24"/>
          <w:lang w:val="en"/>
        </w:rPr>
      </w:pPr>
    </w:p>
    <w:tbl>
      <w:tblPr>
        <w:tblW w:w="9030" w:type="dxa"/>
        <w:tblBorders>
          <w:insideH w:val="nil"/>
          <w:insideV w:val="nil"/>
        </w:tblBorders>
        <w:tblLayout w:type="fixed"/>
        <w:tblLook w:val="0600" w:firstRow="0" w:lastRow="0" w:firstColumn="0" w:lastColumn="0" w:noHBand="1" w:noVBand="1"/>
      </w:tblPr>
      <w:tblGrid>
        <w:gridCol w:w="1727"/>
        <w:gridCol w:w="6271"/>
        <w:gridCol w:w="1032"/>
      </w:tblGrid>
      <w:tr w:rsidR="001320FE" w:rsidRPr="001320FE" w14:paraId="493E3EA6" w14:textId="77777777" w:rsidTr="00447633">
        <w:trPr>
          <w:trHeight w:val="419"/>
        </w:trPr>
        <w:tc>
          <w:tcPr>
            <w:tcW w:w="1727" w:type="dxa"/>
            <w:tcBorders>
              <w:top w:val="nil"/>
              <w:left w:val="nil"/>
              <w:bottom w:val="nil"/>
              <w:right w:val="nil"/>
            </w:tcBorders>
            <w:tcMar>
              <w:top w:w="100" w:type="dxa"/>
              <w:left w:w="100" w:type="dxa"/>
              <w:bottom w:w="100" w:type="dxa"/>
              <w:right w:w="100" w:type="dxa"/>
            </w:tcMar>
            <w:hideMark/>
          </w:tcPr>
          <w:p w14:paraId="3D9E9CD2"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Instrument</w:t>
            </w:r>
          </w:p>
        </w:tc>
        <w:tc>
          <w:tcPr>
            <w:tcW w:w="6271" w:type="dxa"/>
            <w:tcBorders>
              <w:top w:val="nil"/>
              <w:left w:val="nil"/>
              <w:bottom w:val="nil"/>
              <w:right w:val="nil"/>
            </w:tcBorders>
            <w:tcMar>
              <w:top w:w="100" w:type="dxa"/>
              <w:left w:w="100" w:type="dxa"/>
              <w:bottom w:w="100" w:type="dxa"/>
              <w:right w:w="100" w:type="dxa"/>
            </w:tcMar>
            <w:hideMark/>
          </w:tcPr>
          <w:p w14:paraId="08F2EA5A"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Action / Justification</w:t>
            </w:r>
          </w:p>
        </w:tc>
        <w:tc>
          <w:tcPr>
            <w:tcW w:w="1032" w:type="dxa"/>
            <w:tcBorders>
              <w:top w:val="nil"/>
              <w:left w:val="nil"/>
              <w:bottom w:val="nil"/>
              <w:right w:val="nil"/>
            </w:tcBorders>
            <w:tcMar>
              <w:top w:w="100" w:type="dxa"/>
              <w:left w:w="100" w:type="dxa"/>
              <w:bottom w:w="100" w:type="dxa"/>
              <w:right w:w="100" w:type="dxa"/>
            </w:tcMar>
            <w:hideMark/>
          </w:tcPr>
          <w:p w14:paraId="6A152BCD"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Budget Line</w:t>
            </w:r>
          </w:p>
        </w:tc>
      </w:tr>
      <w:tr w:rsidR="001320FE" w:rsidRPr="001320FE" w14:paraId="5FCA6090" w14:textId="77777777" w:rsidTr="00447633">
        <w:trPr>
          <w:trHeight w:val="868"/>
        </w:trPr>
        <w:tc>
          <w:tcPr>
            <w:tcW w:w="1727" w:type="dxa"/>
            <w:tcBorders>
              <w:top w:val="nil"/>
              <w:left w:val="nil"/>
              <w:bottom w:val="nil"/>
              <w:right w:val="nil"/>
            </w:tcBorders>
            <w:tcMar>
              <w:top w:w="100" w:type="dxa"/>
              <w:left w:w="100" w:type="dxa"/>
              <w:bottom w:w="100" w:type="dxa"/>
              <w:right w:w="100" w:type="dxa"/>
            </w:tcMar>
            <w:hideMark/>
          </w:tcPr>
          <w:p w14:paraId="73F644B6"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Erasmus+ KA2</w:t>
            </w:r>
          </w:p>
        </w:tc>
        <w:tc>
          <w:tcPr>
            <w:tcW w:w="6271" w:type="dxa"/>
            <w:tcBorders>
              <w:top w:val="nil"/>
              <w:left w:val="nil"/>
              <w:bottom w:val="nil"/>
              <w:right w:val="nil"/>
            </w:tcBorders>
            <w:tcMar>
              <w:top w:w="100" w:type="dxa"/>
              <w:left w:w="100" w:type="dxa"/>
              <w:bottom w:w="100" w:type="dxa"/>
              <w:right w:w="100" w:type="dxa"/>
            </w:tcMar>
            <w:hideMark/>
          </w:tcPr>
          <w:p w14:paraId="49B6F539"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Network &amp; Pedagogy:</w:t>
            </w:r>
            <w:r w:rsidRPr="001320FE">
              <w:rPr>
                <w:rFonts w:ascii="Source Sans Pro" w:hAnsi="Source Sans Pro"/>
                <w:sz w:val="24"/>
                <w:szCs w:val="24"/>
                <w:lang w:val="en"/>
              </w:rPr>
              <w:t xml:space="preserve"> Fund the establishment, staffing, and quality assurance of the 100 Teaching Factories, building on the successful KA2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pilot model. This is a classic 'cooperation partnership for innovation' at scale.</w:t>
            </w:r>
          </w:p>
        </w:tc>
        <w:tc>
          <w:tcPr>
            <w:tcW w:w="1032" w:type="dxa"/>
            <w:tcBorders>
              <w:top w:val="nil"/>
              <w:left w:val="nil"/>
              <w:bottom w:val="nil"/>
              <w:right w:val="nil"/>
            </w:tcBorders>
            <w:tcMar>
              <w:top w:w="100" w:type="dxa"/>
              <w:left w:w="100" w:type="dxa"/>
              <w:bottom w:w="100" w:type="dxa"/>
              <w:right w:w="100" w:type="dxa"/>
            </w:tcMar>
            <w:hideMark/>
          </w:tcPr>
          <w:p w14:paraId="0AEA7655"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€120 m</w:t>
            </w:r>
          </w:p>
        </w:tc>
      </w:tr>
      <w:tr w:rsidR="001320FE" w:rsidRPr="001320FE" w14:paraId="059152A9" w14:textId="77777777" w:rsidTr="00447633">
        <w:trPr>
          <w:trHeight w:val="857"/>
        </w:trPr>
        <w:tc>
          <w:tcPr>
            <w:tcW w:w="1727" w:type="dxa"/>
            <w:tcBorders>
              <w:top w:val="nil"/>
              <w:left w:val="nil"/>
              <w:bottom w:val="nil"/>
              <w:right w:val="nil"/>
            </w:tcBorders>
            <w:tcMar>
              <w:top w:w="100" w:type="dxa"/>
              <w:left w:w="100" w:type="dxa"/>
              <w:bottom w:w="100" w:type="dxa"/>
              <w:right w:w="100" w:type="dxa"/>
            </w:tcMar>
            <w:hideMark/>
          </w:tcPr>
          <w:p w14:paraId="71E74B4D"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 xml:space="preserve">Digital Europe </w:t>
            </w:r>
            <w:proofErr w:type="spellStart"/>
            <w:r w:rsidRPr="001320FE">
              <w:rPr>
                <w:rFonts w:ascii="Source Sans Pro" w:hAnsi="Source Sans Pro"/>
                <w:b/>
                <w:sz w:val="24"/>
                <w:szCs w:val="24"/>
                <w:lang w:val="en"/>
              </w:rPr>
              <w:t>Programme</w:t>
            </w:r>
            <w:proofErr w:type="spellEnd"/>
          </w:p>
        </w:tc>
        <w:tc>
          <w:tcPr>
            <w:tcW w:w="6271" w:type="dxa"/>
            <w:tcBorders>
              <w:top w:val="nil"/>
              <w:left w:val="nil"/>
              <w:bottom w:val="nil"/>
              <w:right w:val="nil"/>
            </w:tcBorders>
            <w:tcMar>
              <w:top w:w="100" w:type="dxa"/>
              <w:left w:w="100" w:type="dxa"/>
              <w:bottom w:w="100" w:type="dxa"/>
              <w:right w:w="100" w:type="dxa"/>
            </w:tcMar>
            <w:hideMark/>
          </w:tcPr>
          <w:p w14:paraId="5140C4C1"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Digital Infrastructure:</w:t>
            </w:r>
            <w:r w:rsidRPr="001320FE">
              <w:rPr>
                <w:rFonts w:ascii="Source Sans Pro" w:hAnsi="Source Sans Pro"/>
                <w:sz w:val="24"/>
                <w:szCs w:val="24"/>
                <w:lang w:val="en"/>
              </w:rPr>
              <w:t xml:space="preserve"> Fund the creation and 10-year maintenance of the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Digital Hub (OER, VR simulators) and the hardening and deployment of the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LCA tool as an open-source, GDPR-compliant EU standard.</w:t>
            </w:r>
          </w:p>
        </w:tc>
        <w:tc>
          <w:tcPr>
            <w:tcW w:w="1032" w:type="dxa"/>
            <w:tcBorders>
              <w:top w:val="nil"/>
              <w:left w:val="nil"/>
              <w:bottom w:val="nil"/>
              <w:right w:val="nil"/>
            </w:tcBorders>
            <w:tcMar>
              <w:top w:w="100" w:type="dxa"/>
              <w:left w:w="100" w:type="dxa"/>
              <w:bottom w:w="100" w:type="dxa"/>
              <w:right w:w="100" w:type="dxa"/>
            </w:tcMar>
            <w:hideMark/>
          </w:tcPr>
          <w:p w14:paraId="3CC8FCA6"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€45 m</w:t>
            </w:r>
          </w:p>
        </w:tc>
      </w:tr>
      <w:tr w:rsidR="001320FE" w:rsidRPr="001320FE" w14:paraId="4133F49A" w14:textId="77777777" w:rsidTr="00447633">
        <w:trPr>
          <w:trHeight w:val="432"/>
        </w:trPr>
        <w:tc>
          <w:tcPr>
            <w:tcW w:w="1727" w:type="dxa"/>
            <w:tcBorders>
              <w:top w:val="nil"/>
              <w:left w:val="nil"/>
              <w:bottom w:val="nil"/>
              <w:right w:val="nil"/>
            </w:tcBorders>
            <w:tcMar>
              <w:top w:w="100" w:type="dxa"/>
              <w:left w:w="100" w:type="dxa"/>
              <w:bottom w:w="100" w:type="dxa"/>
              <w:right w:w="100" w:type="dxa"/>
            </w:tcMar>
            <w:hideMark/>
          </w:tcPr>
          <w:p w14:paraId="331CD584"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lastRenderedPageBreak/>
              <w:t>ESF+</w:t>
            </w:r>
          </w:p>
        </w:tc>
        <w:tc>
          <w:tcPr>
            <w:tcW w:w="6271" w:type="dxa"/>
            <w:tcBorders>
              <w:top w:val="nil"/>
              <w:left w:val="nil"/>
              <w:bottom w:val="nil"/>
              <w:right w:val="nil"/>
            </w:tcBorders>
            <w:tcMar>
              <w:top w:w="100" w:type="dxa"/>
              <w:left w:w="100" w:type="dxa"/>
              <w:bottom w:w="100" w:type="dxa"/>
              <w:right w:w="100" w:type="dxa"/>
            </w:tcMar>
            <w:hideMark/>
          </w:tcPr>
          <w:p w14:paraId="743804AA"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Mass Upskilling &amp; Inclusion:</w:t>
            </w:r>
            <w:r w:rsidRPr="001320FE">
              <w:rPr>
                <w:rFonts w:ascii="Source Sans Pro" w:hAnsi="Source Sans Pro"/>
                <w:sz w:val="24"/>
                <w:szCs w:val="24"/>
                <w:lang w:val="en"/>
              </w:rPr>
              <w:t xml:space="preserve"> Provide national-level funding via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-Eco Vouchers' (see 4.2). This empowers 500,000 technicians, particularly </w:t>
            </w:r>
            <w:proofErr w:type="gramStart"/>
            <w:r w:rsidRPr="001320FE">
              <w:rPr>
                <w:rFonts w:ascii="Source Sans Pro" w:hAnsi="Source Sans Pro"/>
                <w:sz w:val="24"/>
                <w:szCs w:val="24"/>
                <w:lang w:val="en"/>
              </w:rPr>
              <w:t>from SMEs and at-risk groups,</w:t>
            </w:r>
            <w:proofErr w:type="gramEnd"/>
            <w:r w:rsidRPr="001320FE">
              <w:rPr>
                <w:rFonts w:ascii="Source Sans Pro" w:hAnsi="Source Sans Pro"/>
                <w:sz w:val="24"/>
                <w:szCs w:val="24"/>
                <w:lang w:val="en"/>
              </w:rPr>
              <w:t xml:space="preserve"> to "purchase" micro-credential courses from certified providers.</w:t>
            </w:r>
          </w:p>
        </w:tc>
        <w:tc>
          <w:tcPr>
            <w:tcW w:w="1032" w:type="dxa"/>
            <w:tcBorders>
              <w:top w:val="nil"/>
              <w:left w:val="nil"/>
              <w:bottom w:val="nil"/>
              <w:right w:val="nil"/>
            </w:tcBorders>
            <w:tcMar>
              <w:top w:w="100" w:type="dxa"/>
              <w:left w:w="100" w:type="dxa"/>
              <w:bottom w:w="100" w:type="dxa"/>
              <w:right w:w="100" w:type="dxa"/>
            </w:tcMar>
            <w:hideMark/>
          </w:tcPr>
          <w:p w14:paraId="2417D430"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€1.2 bn</w:t>
            </w:r>
          </w:p>
        </w:tc>
      </w:tr>
      <w:tr w:rsidR="001320FE" w:rsidRPr="001320FE" w14:paraId="4AAEE4C4" w14:textId="77777777" w:rsidTr="00447633">
        <w:trPr>
          <w:trHeight w:val="674"/>
        </w:trPr>
        <w:tc>
          <w:tcPr>
            <w:tcW w:w="1727" w:type="dxa"/>
            <w:tcBorders>
              <w:top w:val="nil"/>
              <w:left w:val="nil"/>
              <w:bottom w:val="nil"/>
              <w:right w:val="nil"/>
            </w:tcBorders>
            <w:tcMar>
              <w:top w:w="100" w:type="dxa"/>
              <w:left w:w="100" w:type="dxa"/>
              <w:bottom w:w="100" w:type="dxa"/>
              <w:right w:w="100" w:type="dxa"/>
            </w:tcMar>
            <w:hideMark/>
          </w:tcPr>
          <w:p w14:paraId="013B9682"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Horizon Europe Cluster 4</w:t>
            </w:r>
          </w:p>
        </w:tc>
        <w:tc>
          <w:tcPr>
            <w:tcW w:w="6271" w:type="dxa"/>
            <w:tcBorders>
              <w:top w:val="nil"/>
              <w:left w:val="nil"/>
              <w:bottom w:val="nil"/>
              <w:right w:val="nil"/>
            </w:tcBorders>
            <w:tcMar>
              <w:top w:w="100" w:type="dxa"/>
              <w:left w:w="100" w:type="dxa"/>
              <w:bottom w:w="100" w:type="dxa"/>
              <w:right w:w="100" w:type="dxa"/>
            </w:tcMar>
            <w:hideMark/>
          </w:tcPr>
          <w:p w14:paraId="6609B58B"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Future-Proofing R&amp;D:</w:t>
            </w:r>
            <w:r w:rsidRPr="001320FE">
              <w:rPr>
                <w:rFonts w:ascii="Source Sans Pro" w:hAnsi="Source Sans Pro"/>
                <w:sz w:val="24"/>
                <w:szCs w:val="24"/>
                <w:lang w:val="en"/>
              </w:rPr>
              <w:t xml:space="preserve"> Fund research integrating next-gen AI, quantum sensing, and advanced composite materials into the framework, feeding the pipeline for CUs 5, 6, and 7 to prevent curriculum obsolescence.</w:t>
            </w:r>
          </w:p>
        </w:tc>
        <w:tc>
          <w:tcPr>
            <w:tcW w:w="1032" w:type="dxa"/>
            <w:tcBorders>
              <w:top w:val="nil"/>
              <w:left w:val="nil"/>
              <w:bottom w:val="nil"/>
              <w:right w:val="nil"/>
            </w:tcBorders>
            <w:tcMar>
              <w:top w:w="100" w:type="dxa"/>
              <w:left w:w="100" w:type="dxa"/>
              <w:bottom w:w="100" w:type="dxa"/>
              <w:right w:w="100" w:type="dxa"/>
            </w:tcMar>
            <w:hideMark/>
          </w:tcPr>
          <w:p w14:paraId="1D8677CE"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€80 m</w:t>
            </w:r>
          </w:p>
        </w:tc>
      </w:tr>
    </w:tbl>
    <w:p w14:paraId="5FDE376E" w14:textId="77777777" w:rsidR="00447633" w:rsidRPr="00447633" w:rsidRDefault="00447633" w:rsidP="001320FE">
      <w:pPr>
        <w:jc w:val="both"/>
        <w:rPr>
          <w:rFonts w:ascii="Source Sans Pro" w:hAnsi="Source Sans Pro"/>
          <w:b/>
          <w:sz w:val="24"/>
          <w:szCs w:val="24"/>
          <w:lang w:val="en"/>
        </w:rPr>
      </w:pPr>
      <w:bookmarkStart w:id="16" w:name="_w4kwc4wj0q1l"/>
      <w:bookmarkEnd w:id="16"/>
    </w:p>
    <w:p w14:paraId="328AFF42" w14:textId="316A8E34"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4.2. Financial Governance and Justification</w:t>
      </w:r>
    </w:p>
    <w:p w14:paraId="196F4877"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The </w:t>
      </w:r>
      <w:r w:rsidRPr="001320FE">
        <w:rPr>
          <w:rFonts w:ascii="Source Sans Pro" w:hAnsi="Source Sans Pro"/>
          <w:b/>
          <w:sz w:val="24"/>
          <w:szCs w:val="24"/>
          <w:lang w:val="en"/>
        </w:rPr>
        <w:t>€1.2 billion ESF+</w:t>
      </w:r>
      <w:r w:rsidRPr="001320FE">
        <w:rPr>
          <w:rFonts w:ascii="Source Sans Pro" w:hAnsi="Source Sans Pro"/>
          <w:sz w:val="24"/>
          <w:szCs w:val="24"/>
          <w:lang w:val="en"/>
        </w:rPr>
        <w:t xml:space="preserve"> allocation is the core driver of mass adoption. This is not a "blank check</w:t>
      </w:r>
      <w:proofErr w:type="gramStart"/>
      <w:r w:rsidRPr="001320FE">
        <w:rPr>
          <w:rFonts w:ascii="Source Sans Pro" w:hAnsi="Source Sans Pro"/>
          <w:sz w:val="24"/>
          <w:szCs w:val="24"/>
          <w:lang w:val="en"/>
        </w:rPr>
        <w:t>"</w:t>
      </w:r>
      <w:proofErr w:type="gramEnd"/>
      <w:r w:rsidRPr="001320FE">
        <w:rPr>
          <w:rFonts w:ascii="Source Sans Pro" w:hAnsi="Source Sans Pro"/>
          <w:sz w:val="24"/>
          <w:szCs w:val="24"/>
          <w:lang w:val="en"/>
        </w:rPr>
        <w:t xml:space="preserve"> but a highly targeted voucher system managed by National Agencies.</w:t>
      </w:r>
    </w:p>
    <w:p w14:paraId="5D3BCDA1" w14:textId="77777777" w:rsidR="001320FE" w:rsidRPr="001320FE" w:rsidRDefault="001320FE">
      <w:pPr>
        <w:numPr>
          <w:ilvl w:val="0"/>
          <w:numId w:val="6"/>
        </w:numPr>
        <w:jc w:val="both"/>
        <w:rPr>
          <w:rFonts w:ascii="Source Sans Pro" w:hAnsi="Source Sans Pro"/>
          <w:sz w:val="24"/>
          <w:szCs w:val="24"/>
          <w:lang w:val="en"/>
        </w:rPr>
      </w:pPr>
      <w:r w:rsidRPr="001320FE">
        <w:rPr>
          <w:rFonts w:ascii="Source Sans Pro" w:hAnsi="Source Sans Pro"/>
          <w:b/>
          <w:sz w:val="24"/>
          <w:szCs w:val="24"/>
          <w:lang w:val="en"/>
        </w:rPr>
        <w:t>Voucher Justification:</w:t>
      </w:r>
      <w:r w:rsidRPr="001320FE">
        <w:rPr>
          <w:rFonts w:ascii="Source Sans Pro" w:hAnsi="Source Sans Pro"/>
          <w:sz w:val="24"/>
          <w:szCs w:val="24"/>
          <w:lang w:val="en"/>
        </w:rPr>
        <w:t xml:space="preserve"> The funding provides an estimated </w:t>
      </w:r>
      <w:r w:rsidRPr="001320FE">
        <w:rPr>
          <w:rFonts w:ascii="Source Sans Pro" w:hAnsi="Source Sans Pro"/>
          <w:b/>
          <w:sz w:val="24"/>
          <w:szCs w:val="24"/>
          <w:lang w:val="en"/>
        </w:rPr>
        <w:t>500,000 vouchers</w:t>
      </w:r>
      <w:r w:rsidRPr="001320FE">
        <w:rPr>
          <w:rFonts w:ascii="Source Sans Pro" w:hAnsi="Source Sans Pro"/>
          <w:sz w:val="24"/>
          <w:szCs w:val="24"/>
          <w:lang w:val="en"/>
        </w:rPr>
        <w:t xml:space="preserve"> over the 7-year period.</w:t>
      </w:r>
    </w:p>
    <w:p w14:paraId="5A4C6F81" w14:textId="77777777" w:rsidR="001320FE" w:rsidRPr="001320FE" w:rsidRDefault="001320FE">
      <w:pPr>
        <w:numPr>
          <w:ilvl w:val="0"/>
          <w:numId w:val="6"/>
        </w:numPr>
        <w:jc w:val="both"/>
        <w:rPr>
          <w:rFonts w:ascii="Source Sans Pro" w:hAnsi="Source Sans Pro"/>
          <w:sz w:val="24"/>
          <w:szCs w:val="24"/>
          <w:lang w:val="en"/>
        </w:rPr>
      </w:pPr>
      <w:r w:rsidRPr="001320FE">
        <w:rPr>
          <w:rFonts w:ascii="Source Sans Pro" w:hAnsi="Source Sans Pro"/>
          <w:b/>
          <w:sz w:val="24"/>
          <w:szCs w:val="24"/>
          <w:lang w:val="en"/>
        </w:rPr>
        <w:t>Average Cost:</w:t>
      </w:r>
      <w:r w:rsidRPr="001320FE">
        <w:rPr>
          <w:rFonts w:ascii="Source Sans Pro" w:hAnsi="Source Sans Pro"/>
          <w:sz w:val="24"/>
          <w:szCs w:val="24"/>
          <w:lang w:val="en"/>
        </w:rPr>
        <w:t xml:space="preserve"> Each voucher is redeemable for one micro-credential course (avg. €2,400 per learner), covering tuition, certification, and a stipend for "backfill" (compensating SMEs for the worker's time).</w:t>
      </w:r>
    </w:p>
    <w:p w14:paraId="415E95C9" w14:textId="77777777" w:rsidR="001320FE" w:rsidRPr="001320FE" w:rsidRDefault="001320FE">
      <w:pPr>
        <w:numPr>
          <w:ilvl w:val="0"/>
          <w:numId w:val="6"/>
        </w:numPr>
        <w:jc w:val="both"/>
        <w:rPr>
          <w:rFonts w:ascii="Source Sans Pro" w:hAnsi="Source Sans Pro"/>
          <w:sz w:val="24"/>
          <w:szCs w:val="24"/>
          <w:lang w:val="en"/>
        </w:rPr>
      </w:pPr>
      <w:r w:rsidRPr="001320FE">
        <w:rPr>
          <w:rFonts w:ascii="Source Sans Pro" w:hAnsi="Source Sans Pro"/>
          <w:b/>
          <w:sz w:val="24"/>
          <w:szCs w:val="24"/>
          <w:lang w:val="en"/>
        </w:rPr>
        <w:t>Fund Governance:</w:t>
      </w:r>
      <w:r w:rsidRPr="001320FE">
        <w:rPr>
          <w:rFonts w:ascii="Source Sans Pro" w:hAnsi="Source Sans Pro"/>
          <w:sz w:val="24"/>
          <w:szCs w:val="24"/>
          <w:lang w:val="en"/>
        </w:rPr>
        <w:t xml:space="preserve"> National Agencies will disburse funds to VET/HEI providers </w:t>
      </w:r>
      <w:r w:rsidRPr="001320FE">
        <w:rPr>
          <w:rFonts w:ascii="Source Sans Pro" w:hAnsi="Source Sans Pro"/>
          <w:i/>
          <w:sz w:val="24"/>
          <w:szCs w:val="24"/>
          <w:lang w:val="en"/>
        </w:rPr>
        <w:t>only upon</w:t>
      </w:r>
      <w:r w:rsidRPr="001320FE">
        <w:rPr>
          <w:rFonts w:ascii="Source Sans Pro" w:hAnsi="Source Sans Pro"/>
          <w:sz w:val="24"/>
          <w:szCs w:val="24"/>
          <w:lang w:val="en"/>
        </w:rPr>
        <w:t xml:space="preserve"> the successful issuance of a validated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micro-credential. All ESF+ funding will be contingent on the provider meeting the 30% inclusion quota (Pillar 3), creating a powerful financial incentive for equity.</w:t>
      </w:r>
    </w:p>
    <w:p w14:paraId="64A50567" w14:textId="77777777" w:rsidR="001320FE" w:rsidRPr="00447633"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The </w:t>
      </w:r>
      <w:r w:rsidRPr="001320FE">
        <w:rPr>
          <w:rFonts w:ascii="Source Sans Pro" w:hAnsi="Source Sans Pro"/>
          <w:b/>
          <w:sz w:val="24"/>
          <w:szCs w:val="24"/>
          <w:lang w:val="en"/>
        </w:rPr>
        <w:t>€120 million Erasmus+</w:t>
      </w:r>
      <w:r w:rsidRPr="001320FE">
        <w:rPr>
          <w:rFonts w:ascii="Source Sans Pro" w:hAnsi="Source Sans Pro"/>
          <w:sz w:val="24"/>
          <w:szCs w:val="24"/>
          <w:lang w:val="en"/>
        </w:rPr>
        <w:t xml:space="preserve"> fund will be distributed as competitive grants to consortia of industry and education partners to establish and operate the Teaching Factories. The </w:t>
      </w:r>
      <w:r w:rsidRPr="001320FE">
        <w:rPr>
          <w:rFonts w:ascii="Source Sans Pro" w:hAnsi="Source Sans Pro"/>
          <w:b/>
          <w:sz w:val="24"/>
          <w:szCs w:val="24"/>
          <w:lang w:val="en"/>
        </w:rPr>
        <w:t>€45 million Digital Europe</w:t>
      </w:r>
      <w:r w:rsidRPr="001320FE">
        <w:rPr>
          <w:rFonts w:ascii="Source Sans Pro" w:hAnsi="Source Sans Pro"/>
          <w:sz w:val="24"/>
          <w:szCs w:val="24"/>
          <w:lang w:val="en"/>
        </w:rPr>
        <w:t xml:space="preserve"> fund will be managed by DG EAC to build and maintain the central Digital Hub. The </w:t>
      </w:r>
      <w:r w:rsidRPr="001320FE">
        <w:rPr>
          <w:rFonts w:ascii="Source Sans Pro" w:hAnsi="Source Sans Pro"/>
          <w:b/>
          <w:sz w:val="24"/>
          <w:szCs w:val="24"/>
          <w:lang w:val="en"/>
        </w:rPr>
        <w:t>€80 million Horizon Europe</w:t>
      </w:r>
      <w:r w:rsidRPr="001320FE">
        <w:rPr>
          <w:rFonts w:ascii="Source Sans Pro" w:hAnsi="Source Sans Pro"/>
          <w:sz w:val="24"/>
          <w:szCs w:val="24"/>
          <w:lang w:val="en"/>
        </w:rPr>
        <w:t xml:space="preserve"> fund will be ring-fenced for calls managed by the European Research Council (ERC) specifically focused on next-generation maintenance technologies for the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curriculum.</w:t>
      </w:r>
    </w:p>
    <w:p w14:paraId="1C9AD596" w14:textId="77777777" w:rsidR="001320FE" w:rsidRPr="001320FE" w:rsidRDefault="001320FE" w:rsidP="001320FE">
      <w:pPr>
        <w:jc w:val="both"/>
        <w:rPr>
          <w:lang w:val="en"/>
        </w:rPr>
      </w:pPr>
    </w:p>
    <w:p w14:paraId="29CD21E7" w14:textId="77777777" w:rsidR="001320FE" w:rsidRPr="001320FE" w:rsidRDefault="001320FE" w:rsidP="001320FE">
      <w:pPr>
        <w:pStyle w:val="Heading1"/>
        <w:jc w:val="both"/>
        <w:rPr>
          <w:lang w:val="en"/>
        </w:rPr>
      </w:pPr>
      <w:bookmarkStart w:id="17" w:name="_osb5mdw2zwi8"/>
      <w:bookmarkStart w:id="18" w:name="_Toc212823915"/>
      <w:bookmarkEnd w:id="17"/>
      <w:r w:rsidRPr="001320FE">
        <w:rPr>
          <w:lang w:val="en"/>
        </w:rPr>
        <w:t>5. Core Policy Pillars: A Detailed Exposition</w:t>
      </w:r>
      <w:bookmarkEnd w:id="18"/>
    </w:p>
    <w:p w14:paraId="38D5C3F9" w14:textId="77777777" w:rsidR="00447633" w:rsidRDefault="00447633" w:rsidP="001320FE">
      <w:pPr>
        <w:jc w:val="both"/>
        <w:rPr>
          <w:b/>
          <w:lang w:val="en"/>
        </w:rPr>
      </w:pPr>
      <w:bookmarkStart w:id="19" w:name="_aluxd8eq2s3j"/>
      <w:bookmarkEnd w:id="19"/>
    </w:p>
    <w:p w14:paraId="3D9A5A75" w14:textId="4DD9D539"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5.1. Pillar 1: A Common Competence Framework</w:t>
      </w:r>
    </w:p>
    <w:p w14:paraId="658D158A"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This pillar establishes a common, EU-wide language for deep-tech maintenance skills, based on the validated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CUs. This is the pedagogical "gold standard" that underpins the entire ecosystem.</w:t>
      </w:r>
    </w:p>
    <w:p w14:paraId="70804392"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A. Detailed Competence Unit (CU) Descriptors:</w:t>
      </w:r>
      <w:r w:rsidRPr="001320FE">
        <w:rPr>
          <w:rFonts w:ascii="Source Sans Pro" w:hAnsi="Source Sans Pro"/>
          <w:sz w:val="24"/>
          <w:szCs w:val="24"/>
          <w:lang w:val="en"/>
        </w:rPr>
        <w:t xml:space="preserve"> We propose the formal adoption of the 4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CUs as standardized EQF Level 5–7 descriptors.</w:t>
      </w:r>
    </w:p>
    <w:p w14:paraId="03AD1C39" w14:textId="77777777" w:rsidR="001320FE" w:rsidRPr="001320FE" w:rsidRDefault="001320FE">
      <w:pPr>
        <w:numPr>
          <w:ilvl w:val="0"/>
          <w:numId w:val="7"/>
        </w:numPr>
        <w:jc w:val="both"/>
        <w:rPr>
          <w:rFonts w:ascii="Source Sans Pro" w:hAnsi="Source Sans Pro"/>
          <w:sz w:val="24"/>
          <w:szCs w:val="24"/>
          <w:lang w:val="en"/>
        </w:rPr>
      </w:pPr>
      <w:r w:rsidRPr="001320FE">
        <w:rPr>
          <w:rFonts w:ascii="Source Sans Pro" w:hAnsi="Source Sans Pro"/>
          <w:b/>
          <w:sz w:val="24"/>
          <w:szCs w:val="24"/>
          <w:lang w:val="en"/>
        </w:rPr>
        <w:t xml:space="preserve">CU1: AI &amp; Machine Learning in </w:t>
      </w:r>
      <w:proofErr w:type="spellStart"/>
      <w:r w:rsidRPr="001320FE">
        <w:rPr>
          <w:rFonts w:ascii="Source Sans Pro" w:hAnsi="Source Sans Pro"/>
          <w:b/>
          <w:sz w:val="24"/>
          <w:szCs w:val="24"/>
          <w:lang w:val="en"/>
        </w:rPr>
        <w:t>PdM</w:t>
      </w:r>
      <w:proofErr w:type="spellEnd"/>
      <w:r w:rsidRPr="001320FE">
        <w:rPr>
          <w:rFonts w:ascii="Source Sans Pro" w:hAnsi="Source Sans Pro"/>
          <w:b/>
          <w:sz w:val="24"/>
          <w:szCs w:val="24"/>
          <w:lang w:val="en"/>
        </w:rPr>
        <w:t xml:space="preserve"> (EQF 6 / 5 ECTS):</w:t>
      </w:r>
    </w:p>
    <w:p w14:paraId="232064A4" w14:textId="77777777" w:rsidR="001320FE" w:rsidRPr="001320FE" w:rsidRDefault="001320FE">
      <w:pPr>
        <w:numPr>
          <w:ilvl w:val="1"/>
          <w:numId w:val="7"/>
        </w:numPr>
        <w:jc w:val="both"/>
        <w:rPr>
          <w:rFonts w:ascii="Source Sans Pro" w:hAnsi="Source Sans Pro"/>
          <w:sz w:val="24"/>
          <w:szCs w:val="24"/>
          <w:lang w:val="en"/>
        </w:rPr>
      </w:pPr>
      <w:r w:rsidRPr="001320FE">
        <w:rPr>
          <w:rFonts w:ascii="Source Sans Pro" w:hAnsi="Source Sans Pro"/>
          <w:b/>
          <w:sz w:val="24"/>
          <w:szCs w:val="24"/>
          <w:lang w:val="en"/>
        </w:rPr>
        <w:t>Description:</w:t>
      </w:r>
      <w:r w:rsidRPr="001320FE">
        <w:rPr>
          <w:rFonts w:ascii="Source Sans Pro" w:hAnsi="Source Sans Pro"/>
          <w:sz w:val="24"/>
          <w:szCs w:val="24"/>
          <w:lang w:val="en"/>
        </w:rPr>
        <w:t xml:space="preserve"> Provides the skills to acquire, clean, and analyze industrial data to build, train, and deploy machine learning models for anomaly detection and remaining-useful-life (RUL) prediction.</w:t>
      </w:r>
    </w:p>
    <w:p w14:paraId="1C6302DF" w14:textId="0D33BD1D" w:rsidR="001320FE" w:rsidRPr="001320FE" w:rsidRDefault="001320FE">
      <w:pPr>
        <w:numPr>
          <w:ilvl w:val="2"/>
          <w:numId w:val="7"/>
        </w:numPr>
        <w:jc w:val="both"/>
        <w:rPr>
          <w:rFonts w:ascii="Source Sans Pro" w:hAnsi="Source Sans Pro"/>
          <w:sz w:val="24"/>
          <w:szCs w:val="24"/>
          <w:lang w:val="en"/>
        </w:rPr>
      </w:pPr>
      <w:r w:rsidRPr="001320FE">
        <w:rPr>
          <w:rFonts w:ascii="Source Sans Pro" w:hAnsi="Source Sans Pro"/>
          <w:b/>
          <w:sz w:val="24"/>
          <w:szCs w:val="24"/>
          <w:lang w:val="en"/>
        </w:rPr>
        <w:lastRenderedPageBreak/>
        <w:t>Key Learning Outcomes:</w:t>
      </w:r>
      <w:r w:rsidRPr="001320FE">
        <w:rPr>
          <w:rFonts w:ascii="Source Sans Pro" w:hAnsi="Source Sans Pro"/>
          <w:sz w:val="24"/>
          <w:szCs w:val="24"/>
          <w:lang w:val="en"/>
        </w:rPr>
        <w:t xml:space="preserve"> Learner can</w:t>
      </w:r>
      <w:r w:rsidR="00447633">
        <w:rPr>
          <w:rFonts w:ascii="Source Sans Pro" w:hAnsi="Source Sans Pro"/>
          <w:sz w:val="24"/>
          <w:szCs w:val="24"/>
          <w:lang w:val="en"/>
        </w:rPr>
        <w:t xml:space="preserve"> i</w:t>
      </w:r>
      <w:r w:rsidRPr="001320FE">
        <w:rPr>
          <w:rFonts w:ascii="Source Sans Pro" w:hAnsi="Source Sans Pro"/>
          <w:sz w:val="24"/>
          <w:szCs w:val="24"/>
          <w:lang w:val="en"/>
        </w:rPr>
        <w:t>mplement data acquisition strategies from IoT sensors (e.g., vibration, thermal).</w:t>
      </w:r>
    </w:p>
    <w:p w14:paraId="1D71D784" w14:textId="77777777" w:rsidR="001320FE" w:rsidRPr="001320FE" w:rsidRDefault="001320FE">
      <w:pPr>
        <w:numPr>
          <w:ilvl w:val="2"/>
          <w:numId w:val="7"/>
        </w:numPr>
        <w:jc w:val="both"/>
        <w:rPr>
          <w:rFonts w:ascii="Source Sans Pro" w:hAnsi="Source Sans Pro"/>
          <w:sz w:val="24"/>
          <w:szCs w:val="24"/>
          <w:lang w:val="en"/>
        </w:rPr>
      </w:pPr>
      <w:r w:rsidRPr="001320FE">
        <w:rPr>
          <w:rFonts w:ascii="Source Sans Pro" w:hAnsi="Source Sans Pro"/>
          <w:sz w:val="24"/>
          <w:szCs w:val="24"/>
          <w:lang w:val="en"/>
        </w:rPr>
        <w:t>Pre-process time-series data using Python (Pandas, NumPy).</w:t>
      </w:r>
    </w:p>
    <w:p w14:paraId="3365A6C4" w14:textId="77777777" w:rsidR="001320FE" w:rsidRPr="001320FE" w:rsidRDefault="001320FE">
      <w:pPr>
        <w:numPr>
          <w:ilvl w:val="2"/>
          <w:numId w:val="7"/>
        </w:numPr>
        <w:jc w:val="both"/>
        <w:rPr>
          <w:rFonts w:ascii="Source Sans Pro" w:hAnsi="Source Sans Pro"/>
          <w:sz w:val="24"/>
          <w:szCs w:val="24"/>
          <w:lang w:val="en"/>
        </w:rPr>
      </w:pPr>
      <w:r w:rsidRPr="001320FE">
        <w:rPr>
          <w:rFonts w:ascii="Source Sans Pro" w:hAnsi="Source Sans Pro"/>
          <w:sz w:val="24"/>
          <w:szCs w:val="24"/>
          <w:lang w:val="en"/>
        </w:rPr>
        <w:t>Train and validate classification/regression models (e.g., Random Forests, LSTMs) using TensorFlow/Scikit-learn.</w:t>
      </w:r>
    </w:p>
    <w:p w14:paraId="5DBB6F70" w14:textId="77777777" w:rsidR="001320FE" w:rsidRPr="001320FE" w:rsidRDefault="001320FE">
      <w:pPr>
        <w:numPr>
          <w:ilvl w:val="2"/>
          <w:numId w:val="7"/>
        </w:numPr>
        <w:jc w:val="both"/>
        <w:rPr>
          <w:rFonts w:ascii="Source Sans Pro" w:hAnsi="Source Sans Pro"/>
          <w:sz w:val="24"/>
          <w:szCs w:val="24"/>
          <w:lang w:val="en"/>
        </w:rPr>
      </w:pPr>
      <w:r w:rsidRPr="001320FE">
        <w:rPr>
          <w:rFonts w:ascii="Source Sans Pro" w:hAnsi="Source Sans Pro"/>
          <w:sz w:val="24"/>
          <w:szCs w:val="24"/>
          <w:lang w:val="en"/>
        </w:rPr>
        <w:t>Interpret model outputs to make a justified maintenance recommendation.</w:t>
      </w:r>
    </w:p>
    <w:p w14:paraId="7AAF0B67" w14:textId="14EAC13A" w:rsidR="001320FE" w:rsidRPr="001320FE" w:rsidRDefault="001320FE">
      <w:pPr>
        <w:numPr>
          <w:ilvl w:val="0"/>
          <w:numId w:val="7"/>
        </w:numPr>
        <w:jc w:val="both"/>
        <w:rPr>
          <w:rFonts w:ascii="Source Sans Pro" w:hAnsi="Source Sans Pro"/>
          <w:sz w:val="24"/>
          <w:szCs w:val="24"/>
          <w:lang w:val="en"/>
        </w:rPr>
      </w:pPr>
      <w:r w:rsidRPr="001320FE">
        <w:rPr>
          <w:rFonts w:ascii="Source Sans Pro" w:hAnsi="Source Sans Pro"/>
          <w:b/>
          <w:sz w:val="24"/>
          <w:szCs w:val="24"/>
          <w:lang w:val="en"/>
        </w:rPr>
        <w:t>CU2: Co</w:t>
      </w:r>
      <w:r w:rsidR="00447633">
        <w:rPr>
          <w:rFonts w:ascii="Source Sans Pro" w:hAnsi="Source Sans Pro"/>
          <w:b/>
          <w:sz w:val="24"/>
          <w:szCs w:val="24"/>
          <w:lang w:val="en"/>
        </w:rPr>
        <w:t>-</w:t>
      </w:r>
      <w:r w:rsidRPr="001320FE">
        <w:rPr>
          <w:rFonts w:ascii="Source Sans Pro" w:hAnsi="Source Sans Pro"/>
          <w:b/>
          <w:sz w:val="24"/>
          <w:szCs w:val="24"/>
          <w:lang w:val="en"/>
        </w:rPr>
        <w:t>bots &amp; Advanced HMI (EQF 5 / 5 ECTS):</w:t>
      </w:r>
    </w:p>
    <w:p w14:paraId="285567F4" w14:textId="77777777" w:rsidR="001320FE" w:rsidRPr="001320FE" w:rsidRDefault="001320FE">
      <w:pPr>
        <w:numPr>
          <w:ilvl w:val="1"/>
          <w:numId w:val="7"/>
        </w:numPr>
        <w:jc w:val="both"/>
        <w:rPr>
          <w:rFonts w:ascii="Source Sans Pro" w:hAnsi="Source Sans Pro"/>
          <w:sz w:val="24"/>
          <w:szCs w:val="24"/>
          <w:lang w:val="en"/>
        </w:rPr>
      </w:pPr>
      <w:r w:rsidRPr="001320FE">
        <w:rPr>
          <w:rFonts w:ascii="Source Sans Pro" w:hAnsi="Source Sans Pro"/>
          <w:b/>
          <w:sz w:val="24"/>
          <w:szCs w:val="24"/>
          <w:lang w:val="en"/>
        </w:rPr>
        <w:t>Description:</w:t>
      </w:r>
      <w:r w:rsidRPr="001320FE">
        <w:rPr>
          <w:rFonts w:ascii="Source Sans Pro" w:hAnsi="Source Sans Pro"/>
          <w:sz w:val="24"/>
          <w:szCs w:val="24"/>
          <w:lang w:val="en"/>
        </w:rPr>
        <w:t xml:space="preserve"> Focuses on the safe and efficient human-robot collaboration for maintenance tasks.</w:t>
      </w:r>
    </w:p>
    <w:p w14:paraId="6F81C717" w14:textId="77777777" w:rsidR="001320FE" w:rsidRPr="001320FE" w:rsidRDefault="001320FE">
      <w:pPr>
        <w:numPr>
          <w:ilvl w:val="1"/>
          <w:numId w:val="7"/>
        </w:numPr>
        <w:jc w:val="both"/>
        <w:rPr>
          <w:rFonts w:ascii="Source Sans Pro" w:hAnsi="Source Sans Pro"/>
          <w:sz w:val="24"/>
          <w:szCs w:val="24"/>
          <w:lang w:val="en"/>
        </w:rPr>
      </w:pPr>
      <w:r w:rsidRPr="001320FE">
        <w:rPr>
          <w:rFonts w:ascii="Source Sans Pro" w:hAnsi="Source Sans Pro"/>
          <w:b/>
          <w:sz w:val="24"/>
          <w:szCs w:val="24"/>
          <w:lang w:val="en"/>
        </w:rPr>
        <w:t>Key Learning Outcomes:</w:t>
      </w:r>
      <w:r w:rsidRPr="001320FE">
        <w:rPr>
          <w:rFonts w:ascii="Source Sans Pro" w:hAnsi="Source Sans Pro"/>
          <w:sz w:val="24"/>
          <w:szCs w:val="24"/>
          <w:lang w:val="en"/>
        </w:rPr>
        <w:t xml:space="preserve"> Learner can...</w:t>
      </w:r>
    </w:p>
    <w:p w14:paraId="60BFBA2F" w14:textId="77777777" w:rsidR="001320FE" w:rsidRPr="001320FE" w:rsidRDefault="001320FE">
      <w:pPr>
        <w:numPr>
          <w:ilvl w:val="2"/>
          <w:numId w:val="7"/>
        </w:numPr>
        <w:jc w:val="both"/>
        <w:rPr>
          <w:rFonts w:ascii="Source Sans Pro" w:hAnsi="Source Sans Pro"/>
          <w:sz w:val="24"/>
          <w:szCs w:val="24"/>
          <w:lang w:val="en"/>
        </w:rPr>
      </w:pPr>
      <w:r w:rsidRPr="001320FE">
        <w:rPr>
          <w:rFonts w:ascii="Source Sans Pro" w:hAnsi="Source Sans Pro"/>
          <w:sz w:val="24"/>
          <w:szCs w:val="24"/>
          <w:lang w:val="en"/>
        </w:rPr>
        <w:t>Program a collaborative robot (e.g., via UR Academy) for a typical maintenance task (e.g., inspection, part replacement).</w:t>
      </w:r>
    </w:p>
    <w:p w14:paraId="36568E97" w14:textId="77777777" w:rsidR="001320FE" w:rsidRPr="001320FE" w:rsidRDefault="001320FE">
      <w:pPr>
        <w:numPr>
          <w:ilvl w:val="2"/>
          <w:numId w:val="7"/>
        </w:numPr>
        <w:jc w:val="both"/>
        <w:rPr>
          <w:rFonts w:ascii="Source Sans Pro" w:hAnsi="Source Sans Pro"/>
          <w:sz w:val="24"/>
          <w:szCs w:val="24"/>
          <w:lang w:val="en"/>
        </w:rPr>
      </w:pPr>
      <w:r w:rsidRPr="001320FE">
        <w:rPr>
          <w:rFonts w:ascii="Source Sans Pro" w:hAnsi="Source Sans Pro"/>
          <w:sz w:val="24"/>
          <w:szCs w:val="24"/>
          <w:lang w:val="en"/>
        </w:rPr>
        <w:t xml:space="preserve">Conduct a risk assessment for a </w:t>
      </w:r>
      <w:proofErr w:type="spellStart"/>
      <w:r w:rsidRPr="001320FE">
        <w:rPr>
          <w:rFonts w:ascii="Source Sans Pro" w:hAnsi="Source Sans Pro"/>
          <w:sz w:val="24"/>
          <w:szCs w:val="24"/>
          <w:lang w:val="en"/>
        </w:rPr>
        <w:t>cobot</w:t>
      </w:r>
      <w:proofErr w:type="spellEnd"/>
      <w:r w:rsidRPr="001320FE">
        <w:rPr>
          <w:rFonts w:ascii="Source Sans Pro" w:hAnsi="Source Sans Pro"/>
          <w:sz w:val="24"/>
          <w:szCs w:val="24"/>
          <w:lang w:val="en"/>
        </w:rPr>
        <w:t xml:space="preserve"> cell according to ISO/TS 15066.</w:t>
      </w:r>
    </w:p>
    <w:p w14:paraId="31A917D0" w14:textId="77777777" w:rsidR="001320FE" w:rsidRPr="001320FE" w:rsidRDefault="001320FE">
      <w:pPr>
        <w:numPr>
          <w:ilvl w:val="2"/>
          <w:numId w:val="7"/>
        </w:numPr>
        <w:jc w:val="both"/>
        <w:rPr>
          <w:rFonts w:ascii="Source Sans Pro" w:hAnsi="Source Sans Pro"/>
          <w:sz w:val="24"/>
          <w:szCs w:val="24"/>
          <w:lang w:val="en"/>
        </w:rPr>
      </w:pPr>
      <w:r w:rsidRPr="001320FE">
        <w:rPr>
          <w:rFonts w:ascii="Source Sans Pro" w:hAnsi="Source Sans Pro"/>
          <w:sz w:val="24"/>
          <w:szCs w:val="24"/>
          <w:lang w:val="en"/>
        </w:rPr>
        <w:t>Integrate AR/VR headsets (HMI) to provide remote expert assistance or overlay digital instructions.</w:t>
      </w:r>
    </w:p>
    <w:p w14:paraId="3F03620D" w14:textId="77777777" w:rsidR="001320FE" w:rsidRPr="001320FE" w:rsidRDefault="001320FE">
      <w:pPr>
        <w:numPr>
          <w:ilvl w:val="0"/>
          <w:numId w:val="7"/>
        </w:numPr>
        <w:jc w:val="both"/>
        <w:rPr>
          <w:rFonts w:ascii="Source Sans Pro" w:hAnsi="Source Sans Pro"/>
          <w:sz w:val="24"/>
          <w:szCs w:val="24"/>
          <w:lang w:val="en"/>
        </w:rPr>
      </w:pPr>
      <w:r w:rsidRPr="001320FE">
        <w:rPr>
          <w:rFonts w:ascii="Source Sans Pro" w:hAnsi="Source Sans Pro"/>
          <w:b/>
          <w:sz w:val="24"/>
          <w:szCs w:val="24"/>
          <w:lang w:val="en"/>
        </w:rPr>
        <w:t>CU3: Advanced Materials &amp; Lifecycle Thinking (EQF 6 / 5 ECTS):</w:t>
      </w:r>
    </w:p>
    <w:p w14:paraId="7FD55E3E" w14:textId="77777777" w:rsidR="001320FE" w:rsidRPr="001320FE" w:rsidRDefault="001320FE">
      <w:pPr>
        <w:numPr>
          <w:ilvl w:val="1"/>
          <w:numId w:val="7"/>
        </w:numPr>
        <w:jc w:val="both"/>
        <w:rPr>
          <w:rFonts w:ascii="Source Sans Pro" w:hAnsi="Source Sans Pro"/>
          <w:sz w:val="24"/>
          <w:szCs w:val="24"/>
          <w:lang w:val="en"/>
        </w:rPr>
      </w:pPr>
      <w:r w:rsidRPr="001320FE">
        <w:rPr>
          <w:rFonts w:ascii="Source Sans Pro" w:hAnsi="Source Sans Pro"/>
          <w:b/>
          <w:sz w:val="24"/>
          <w:szCs w:val="24"/>
          <w:lang w:val="en"/>
        </w:rPr>
        <w:t>Description:</w:t>
      </w:r>
      <w:r w:rsidRPr="001320FE">
        <w:rPr>
          <w:rFonts w:ascii="Source Sans Pro" w:hAnsi="Source Sans Pro"/>
          <w:sz w:val="24"/>
          <w:szCs w:val="24"/>
          <w:lang w:val="en"/>
        </w:rPr>
        <w:t xml:space="preserve"> Covers the properties of new materials and their implications for maintenance, repair, and end-of-life.</w:t>
      </w:r>
    </w:p>
    <w:p w14:paraId="378D6257" w14:textId="77777777" w:rsidR="001320FE" w:rsidRPr="001320FE" w:rsidRDefault="001320FE">
      <w:pPr>
        <w:numPr>
          <w:ilvl w:val="1"/>
          <w:numId w:val="7"/>
        </w:numPr>
        <w:jc w:val="both"/>
        <w:rPr>
          <w:rFonts w:ascii="Source Sans Pro" w:hAnsi="Source Sans Pro"/>
          <w:sz w:val="24"/>
          <w:szCs w:val="24"/>
          <w:lang w:val="en"/>
        </w:rPr>
      </w:pPr>
      <w:r w:rsidRPr="001320FE">
        <w:rPr>
          <w:rFonts w:ascii="Source Sans Pro" w:hAnsi="Source Sans Pro"/>
          <w:b/>
          <w:sz w:val="24"/>
          <w:szCs w:val="24"/>
          <w:lang w:val="en"/>
        </w:rPr>
        <w:t>Key Learning Outcomes:</w:t>
      </w:r>
      <w:r w:rsidRPr="001320FE">
        <w:rPr>
          <w:rFonts w:ascii="Source Sans Pro" w:hAnsi="Source Sans Pro"/>
          <w:sz w:val="24"/>
          <w:szCs w:val="24"/>
          <w:lang w:val="en"/>
        </w:rPr>
        <w:t xml:space="preserve"> Learner can...</w:t>
      </w:r>
    </w:p>
    <w:p w14:paraId="46027A26" w14:textId="77777777" w:rsidR="001320FE" w:rsidRPr="001320FE" w:rsidRDefault="001320FE">
      <w:pPr>
        <w:numPr>
          <w:ilvl w:val="2"/>
          <w:numId w:val="7"/>
        </w:numPr>
        <w:jc w:val="both"/>
        <w:rPr>
          <w:rFonts w:ascii="Source Sans Pro" w:hAnsi="Source Sans Pro"/>
          <w:sz w:val="24"/>
          <w:szCs w:val="24"/>
          <w:lang w:val="en"/>
        </w:rPr>
      </w:pPr>
      <w:r w:rsidRPr="001320FE">
        <w:rPr>
          <w:rFonts w:ascii="Source Sans Pro" w:hAnsi="Source Sans Pro"/>
          <w:sz w:val="24"/>
          <w:szCs w:val="24"/>
          <w:lang w:val="en"/>
        </w:rPr>
        <w:t>Identify the maintenance requirements of composites, alloys, and self-healing polymers.</w:t>
      </w:r>
    </w:p>
    <w:p w14:paraId="6814D5C6" w14:textId="77777777" w:rsidR="001320FE" w:rsidRPr="001320FE" w:rsidRDefault="001320FE">
      <w:pPr>
        <w:numPr>
          <w:ilvl w:val="2"/>
          <w:numId w:val="7"/>
        </w:numPr>
        <w:jc w:val="both"/>
        <w:rPr>
          <w:rFonts w:ascii="Source Sans Pro" w:hAnsi="Source Sans Pro"/>
          <w:sz w:val="24"/>
          <w:szCs w:val="24"/>
          <w:lang w:val="en"/>
        </w:rPr>
      </w:pPr>
      <w:r w:rsidRPr="001320FE">
        <w:rPr>
          <w:rFonts w:ascii="Source Sans Pro" w:hAnsi="Source Sans Pro"/>
          <w:sz w:val="24"/>
          <w:szCs w:val="24"/>
          <w:lang w:val="en"/>
        </w:rPr>
        <w:t>Apply 'cradle-to-cradle' principles to maintenance part selection.</w:t>
      </w:r>
    </w:p>
    <w:p w14:paraId="025A0232" w14:textId="77777777" w:rsidR="001320FE" w:rsidRPr="001320FE" w:rsidRDefault="001320FE">
      <w:pPr>
        <w:numPr>
          <w:ilvl w:val="2"/>
          <w:numId w:val="7"/>
        </w:numPr>
        <w:jc w:val="both"/>
        <w:rPr>
          <w:rFonts w:ascii="Source Sans Pro" w:hAnsi="Source Sans Pro"/>
          <w:sz w:val="24"/>
          <w:szCs w:val="24"/>
          <w:lang w:val="en"/>
        </w:rPr>
      </w:pPr>
      <w:r w:rsidRPr="001320FE">
        <w:rPr>
          <w:rFonts w:ascii="Source Sans Pro" w:hAnsi="Source Sans Pro"/>
          <w:sz w:val="24"/>
          <w:szCs w:val="24"/>
          <w:lang w:val="en"/>
        </w:rPr>
        <w:t>Ensure all maintenance actions and material handling comply with REACH and ESPR regulations.</w:t>
      </w:r>
    </w:p>
    <w:p w14:paraId="5212F5E7" w14:textId="77777777" w:rsidR="001320FE" w:rsidRPr="001320FE" w:rsidRDefault="001320FE">
      <w:pPr>
        <w:numPr>
          <w:ilvl w:val="0"/>
          <w:numId w:val="7"/>
        </w:numPr>
        <w:jc w:val="both"/>
        <w:rPr>
          <w:rFonts w:ascii="Source Sans Pro" w:hAnsi="Source Sans Pro"/>
          <w:sz w:val="24"/>
          <w:szCs w:val="24"/>
          <w:lang w:val="en"/>
        </w:rPr>
      </w:pPr>
      <w:r w:rsidRPr="001320FE">
        <w:rPr>
          <w:rFonts w:ascii="Source Sans Pro" w:hAnsi="Source Sans Pro"/>
          <w:b/>
          <w:sz w:val="24"/>
          <w:szCs w:val="24"/>
          <w:lang w:val="en"/>
        </w:rPr>
        <w:t>CU4: LCA &amp; Social Impact Tools (EQF 7 / 5 ECTS):</w:t>
      </w:r>
    </w:p>
    <w:p w14:paraId="3C709289" w14:textId="77777777" w:rsidR="001320FE" w:rsidRPr="001320FE" w:rsidRDefault="001320FE">
      <w:pPr>
        <w:numPr>
          <w:ilvl w:val="1"/>
          <w:numId w:val="7"/>
        </w:numPr>
        <w:jc w:val="both"/>
        <w:rPr>
          <w:rFonts w:ascii="Source Sans Pro" w:hAnsi="Source Sans Pro"/>
          <w:sz w:val="24"/>
          <w:szCs w:val="24"/>
          <w:lang w:val="en"/>
        </w:rPr>
      </w:pPr>
      <w:r w:rsidRPr="001320FE">
        <w:rPr>
          <w:rFonts w:ascii="Source Sans Pro" w:hAnsi="Source Sans Pro"/>
          <w:b/>
          <w:sz w:val="24"/>
          <w:szCs w:val="24"/>
          <w:lang w:val="en"/>
        </w:rPr>
        <w:t>Description:</w:t>
      </w:r>
      <w:r w:rsidRPr="001320FE">
        <w:rPr>
          <w:rFonts w:ascii="Source Sans Pro" w:hAnsi="Source Sans Pro"/>
          <w:sz w:val="24"/>
          <w:szCs w:val="24"/>
          <w:lang w:val="en"/>
        </w:rPr>
        <w:t xml:space="preserve"> Provides senior technicians and engineers with the skills to conduct full Life Cycle Assessments (LCA) to quantify the environmental and social impact of different maintenance strategies.</w:t>
      </w:r>
    </w:p>
    <w:p w14:paraId="45B266AA" w14:textId="77777777" w:rsidR="001320FE" w:rsidRPr="001320FE" w:rsidRDefault="001320FE">
      <w:pPr>
        <w:numPr>
          <w:ilvl w:val="1"/>
          <w:numId w:val="7"/>
        </w:numPr>
        <w:jc w:val="both"/>
        <w:rPr>
          <w:rFonts w:ascii="Source Sans Pro" w:hAnsi="Source Sans Pro"/>
          <w:sz w:val="24"/>
          <w:szCs w:val="24"/>
          <w:lang w:val="en"/>
        </w:rPr>
      </w:pPr>
      <w:r w:rsidRPr="001320FE">
        <w:rPr>
          <w:rFonts w:ascii="Source Sans Pro" w:hAnsi="Source Sans Pro"/>
          <w:b/>
          <w:sz w:val="24"/>
          <w:szCs w:val="24"/>
          <w:lang w:val="en"/>
        </w:rPr>
        <w:t>Key Learning Outcomes:</w:t>
      </w:r>
      <w:r w:rsidRPr="001320FE">
        <w:rPr>
          <w:rFonts w:ascii="Source Sans Pro" w:hAnsi="Source Sans Pro"/>
          <w:sz w:val="24"/>
          <w:szCs w:val="24"/>
          <w:lang w:val="en"/>
        </w:rPr>
        <w:t xml:space="preserve"> Learner can...</w:t>
      </w:r>
    </w:p>
    <w:p w14:paraId="681959E1" w14:textId="77777777" w:rsidR="001320FE" w:rsidRPr="001320FE" w:rsidRDefault="001320FE">
      <w:pPr>
        <w:numPr>
          <w:ilvl w:val="2"/>
          <w:numId w:val="7"/>
        </w:numPr>
        <w:jc w:val="both"/>
        <w:rPr>
          <w:rFonts w:ascii="Source Sans Pro" w:hAnsi="Source Sans Pro"/>
          <w:sz w:val="24"/>
          <w:szCs w:val="24"/>
          <w:lang w:val="en"/>
        </w:rPr>
      </w:pPr>
      <w:r w:rsidRPr="001320FE">
        <w:rPr>
          <w:rFonts w:ascii="Source Sans Pro" w:hAnsi="Source Sans Pro"/>
          <w:sz w:val="24"/>
          <w:szCs w:val="24"/>
          <w:lang w:val="en"/>
        </w:rPr>
        <w:t>Define the system boundaries for a maintenance process (ISO 14040/14044).</w:t>
      </w:r>
    </w:p>
    <w:p w14:paraId="2F99E993" w14:textId="77777777" w:rsidR="001320FE" w:rsidRPr="001320FE" w:rsidRDefault="001320FE">
      <w:pPr>
        <w:numPr>
          <w:ilvl w:val="2"/>
          <w:numId w:val="7"/>
        </w:numPr>
        <w:jc w:val="both"/>
        <w:rPr>
          <w:rFonts w:ascii="Source Sans Pro" w:hAnsi="Source Sans Pro"/>
          <w:sz w:val="24"/>
          <w:szCs w:val="24"/>
          <w:lang w:val="en"/>
        </w:rPr>
      </w:pPr>
      <w:r w:rsidRPr="001320FE">
        <w:rPr>
          <w:rFonts w:ascii="Source Sans Pro" w:hAnsi="Source Sans Pro"/>
          <w:sz w:val="24"/>
          <w:szCs w:val="24"/>
          <w:lang w:val="en"/>
        </w:rPr>
        <w:t xml:space="preserve">Use the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open-source tool to model and compare the carbon footprint (kg CO₂-eq) of a "run-to-fail" vs. a "predictive" strategy.</w:t>
      </w:r>
    </w:p>
    <w:p w14:paraId="3EA28844" w14:textId="77777777" w:rsidR="001320FE" w:rsidRPr="001320FE" w:rsidRDefault="001320FE">
      <w:pPr>
        <w:numPr>
          <w:ilvl w:val="2"/>
          <w:numId w:val="7"/>
        </w:numPr>
        <w:jc w:val="both"/>
        <w:rPr>
          <w:rFonts w:ascii="Source Sans Pro" w:hAnsi="Source Sans Pro"/>
          <w:sz w:val="24"/>
          <w:szCs w:val="24"/>
          <w:lang w:val="en"/>
        </w:rPr>
      </w:pPr>
      <w:r w:rsidRPr="001320FE">
        <w:rPr>
          <w:rFonts w:ascii="Source Sans Pro" w:hAnsi="Source Sans Pro"/>
          <w:sz w:val="24"/>
          <w:szCs w:val="24"/>
          <w:lang w:val="en"/>
        </w:rPr>
        <w:t>Conduct a Social-LCA (S-LCA) to evaluate impacts on worker well-being and community.</w:t>
      </w:r>
    </w:p>
    <w:p w14:paraId="7C5266B3"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B. Formal Mapping and Recognition:</w:t>
      </w:r>
      <w:r w:rsidRPr="001320FE">
        <w:rPr>
          <w:rFonts w:ascii="Source Sans Pro" w:hAnsi="Source Sans Pro"/>
          <w:sz w:val="24"/>
          <w:szCs w:val="24"/>
          <w:lang w:val="en"/>
        </w:rPr>
        <w:t xml:space="preserve"> To ensure interoperability, the Commission (DG EAC/EMPL) will partner with </w:t>
      </w:r>
      <w:proofErr w:type="spellStart"/>
      <w:r w:rsidRPr="001320FE">
        <w:rPr>
          <w:rFonts w:ascii="Source Sans Pro" w:hAnsi="Source Sans Pro"/>
          <w:sz w:val="24"/>
          <w:szCs w:val="24"/>
          <w:lang w:val="en"/>
        </w:rPr>
        <w:t>Cedefop</w:t>
      </w:r>
      <w:proofErr w:type="spellEnd"/>
      <w:r w:rsidRPr="001320FE">
        <w:rPr>
          <w:rFonts w:ascii="Source Sans Pro" w:hAnsi="Source Sans Pro"/>
          <w:sz w:val="24"/>
          <w:szCs w:val="24"/>
          <w:lang w:val="en"/>
        </w:rPr>
        <w:t xml:space="preserve"> and the ESCO Management Board to oversee the formal mapping of these 4 CUs to the </w:t>
      </w:r>
      <w:r w:rsidRPr="001320FE">
        <w:rPr>
          <w:rFonts w:ascii="Source Sans Pro" w:hAnsi="Source Sans Pro"/>
          <w:b/>
          <w:sz w:val="24"/>
          <w:szCs w:val="24"/>
          <w:lang w:val="en"/>
        </w:rPr>
        <w:t>European Skills, Competences, Qualifications and Occupations (ESCO)</w:t>
      </w:r>
      <w:r w:rsidRPr="001320FE">
        <w:rPr>
          <w:rFonts w:ascii="Source Sans Pro" w:hAnsi="Source Sans Pro"/>
          <w:sz w:val="24"/>
          <w:szCs w:val="24"/>
          <w:lang w:val="en"/>
        </w:rPr>
        <w:t xml:space="preserve"> framework. This links the CUs to specific occupational profiles (e.g., "Industrial Maintenance Technician"), making them visible to employers and jobseekers via EURES. All micro-credentials issued will be </w:t>
      </w:r>
      <w:proofErr w:type="spellStart"/>
      <w:r w:rsidRPr="001320FE">
        <w:rPr>
          <w:rFonts w:ascii="Source Sans Pro" w:hAnsi="Source Sans Pro"/>
          <w:b/>
          <w:sz w:val="24"/>
          <w:szCs w:val="24"/>
          <w:lang w:val="en"/>
        </w:rPr>
        <w:t>Europass</w:t>
      </w:r>
      <w:proofErr w:type="spellEnd"/>
      <w:r w:rsidRPr="001320FE">
        <w:rPr>
          <w:rFonts w:ascii="Source Sans Pro" w:hAnsi="Source Sans Pro"/>
          <w:b/>
          <w:sz w:val="24"/>
          <w:szCs w:val="24"/>
          <w:lang w:val="en"/>
        </w:rPr>
        <w:t xml:space="preserve"> Digital Credential</w:t>
      </w:r>
      <w:r w:rsidRPr="001320FE">
        <w:rPr>
          <w:rFonts w:ascii="Source Sans Pro" w:hAnsi="Source Sans Pro"/>
          <w:sz w:val="24"/>
          <w:szCs w:val="24"/>
          <w:lang w:val="en"/>
        </w:rPr>
        <w:t xml:space="preserve"> compliant.</w:t>
      </w:r>
    </w:p>
    <w:p w14:paraId="5CD24F68" w14:textId="77777777" w:rsidR="00447633" w:rsidRDefault="00447633" w:rsidP="001320FE">
      <w:pPr>
        <w:jc w:val="both"/>
        <w:rPr>
          <w:rFonts w:ascii="Source Sans Pro" w:hAnsi="Source Sans Pro"/>
          <w:b/>
          <w:sz w:val="24"/>
          <w:szCs w:val="24"/>
          <w:lang w:val="en"/>
        </w:rPr>
      </w:pPr>
      <w:bookmarkStart w:id="20" w:name="_389b4d86aleq"/>
      <w:bookmarkEnd w:id="20"/>
    </w:p>
    <w:p w14:paraId="003AE49B" w14:textId="0D0390AF"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5.2. Pillar 2: A Hybrid Delivery Infrastructure</w:t>
      </w:r>
    </w:p>
    <w:p w14:paraId="6E60C049"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lastRenderedPageBreak/>
        <w:t>This pillar defines the "how" and "where" of learning, moving beyond traditional classrooms to integrated, hybrid environments.</w:t>
      </w:r>
    </w:p>
    <w:p w14:paraId="10BD9048"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A. The Teaching Factory (TF) Model (The "Hubs"):</w:t>
      </w:r>
      <w:r w:rsidRPr="001320FE">
        <w:rPr>
          <w:rFonts w:ascii="Source Sans Pro" w:hAnsi="Source Sans Pro"/>
          <w:sz w:val="24"/>
          <w:szCs w:val="24"/>
          <w:lang w:val="en"/>
        </w:rPr>
        <w:t xml:space="preserve"> The 100 TFs are the core of the ecosystem. They are not new buildings, but </w:t>
      </w:r>
      <w:r w:rsidRPr="001320FE">
        <w:rPr>
          <w:rFonts w:ascii="Source Sans Pro" w:hAnsi="Source Sans Pro"/>
          <w:b/>
          <w:sz w:val="24"/>
          <w:szCs w:val="24"/>
          <w:lang w:val="en"/>
        </w:rPr>
        <w:t>1-month immersive bootcamps</w:t>
      </w:r>
      <w:r w:rsidRPr="001320FE">
        <w:rPr>
          <w:rFonts w:ascii="Source Sans Pro" w:hAnsi="Source Sans Pro"/>
          <w:sz w:val="24"/>
          <w:szCs w:val="24"/>
          <w:lang w:val="en"/>
        </w:rPr>
        <w:t xml:space="preserve"> held on active production lines in real industrial plants (hosted by large industry partners).</w:t>
      </w:r>
    </w:p>
    <w:p w14:paraId="5354E143" w14:textId="77777777" w:rsidR="001320FE" w:rsidRPr="001320FE" w:rsidRDefault="001320FE">
      <w:pPr>
        <w:numPr>
          <w:ilvl w:val="0"/>
          <w:numId w:val="8"/>
        </w:numPr>
        <w:jc w:val="both"/>
        <w:rPr>
          <w:rFonts w:ascii="Source Sans Pro" w:hAnsi="Source Sans Pro"/>
          <w:sz w:val="24"/>
          <w:szCs w:val="24"/>
          <w:lang w:val="en"/>
        </w:rPr>
      </w:pPr>
      <w:r w:rsidRPr="001320FE">
        <w:rPr>
          <w:rFonts w:ascii="Source Sans Pro" w:hAnsi="Source Sans Pro"/>
          <w:b/>
          <w:sz w:val="24"/>
          <w:szCs w:val="24"/>
          <w:lang w:val="en"/>
        </w:rPr>
        <w:t>Pedagogy:</w:t>
      </w:r>
      <w:r w:rsidRPr="001320FE">
        <w:rPr>
          <w:rFonts w:ascii="Source Sans Pro" w:hAnsi="Source Sans Pro"/>
          <w:sz w:val="24"/>
          <w:szCs w:val="24"/>
          <w:lang w:val="en"/>
        </w:rPr>
        <w:t xml:space="preserve"> A "Challenge-Based Learning" approach. Learners (in mixed teams of VET students, HEI engineers, and existing workers) are given a real-world problem from the host factory (e.g., "This CNC machine has an 8% failure rate, fix it").</w:t>
      </w:r>
    </w:p>
    <w:p w14:paraId="7A52AFA3" w14:textId="77777777" w:rsidR="001320FE" w:rsidRPr="001320FE" w:rsidRDefault="001320FE">
      <w:pPr>
        <w:numPr>
          <w:ilvl w:val="0"/>
          <w:numId w:val="8"/>
        </w:numPr>
        <w:jc w:val="both"/>
        <w:rPr>
          <w:rFonts w:ascii="Source Sans Pro" w:hAnsi="Source Sans Pro"/>
          <w:sz w:val="24"/>
          <w:szCs w:val="24"/>
          <w:lang w:val="en"/>
        </w:rPr>
      </w:pPr>
      <w:r w:rsidRPr="001320FE">
        <w:rPr>
          <w:rFonts w:ascii="Source Sans Pro" w:hAnsi="Source Sans Pro"/>
          <w:b/>
          <w:sz w:val="24"/>
          <w:szCs w:val="24"/>
          <w:lang w:val="en"/>
        </w:rPr>
        <w:t>Instruction:</w:t>
      </w:r>
      <w:r w:rsidRPr="001320FE">
        <w:rPr>
          <w:rFonts w:ascii="Source Sans Pro" w:hAnsi="Source Sans Pro"/>
          <w:sz w:val="24"/>
          <w:szCs w:val="24"/>
          <w:lang w:val="en"/>
        </w:rPr>
        <w:t xml:space="preserve"> Co-taught by HEI/VET faculty (providing the academic theory of the CUs) and industry senior engineers (providing the "</w:t>
      </w:r>
      <w:proofErr w:type="gramStart"/>
      <w:r w:rsidRPr="001320FE">
        <w:rPr>
          <w:rFonts w:ascii="Source Sans Pro" w:hAnsi="Source Sans Pro"/>
          <w:sz w:val="24"/>
          <w:szCs w:val="24"/>
          <w:lang w:val="en"/>
        </w:rPr>
        <w:t>shop-floor</w:t>
      </w:r>
      <w:proofErr w:type="gramEnd"/>
      <w:r w:rsidRPr="001320FE">
        <w:rPr>
          <w:rFonts w:ascii="Source Sans Pro" w:hAnsi="Source Sans Pro"/>
          <w:sz w:val="24"/>
          <w:szCs w:val="24"/>
          <w:lang w:val="en"/>
        </w:rPr>
        <w:t>" practical context).</w:t>
      </w:r>
    </w:p>
    <w:p w14:paraId="5128FA6C" w14:textId="77777777" w:rsidR="001320FE" w:rsidRPr="001320FE" w:rsidRDefault="001320FE">
      <w:pPr>
        <w:numPr>
          <w:ilvl w:val="0"/>
          <w:numId w:val="8"/>
        </w:numPr>
        <w:jc w:val="both"/>
        <w:rPr>
          <w:rFonts w:ascii="Source Sans Pro" w:hAnsi="Source Sans Pro"/>
          <w:sz w:val="24"/>
          <w:szCs w:val="24"/>
          <w:lang w:val="en"/>
        </w:rPr>
      </w:pPr>
      <w:r w:rsidRPr="001320FE">
        <w:rPr>
          <w:rFonts w:ascii="Source Sans Pro" w:hAnsi="Source Sans Pro"/>
          <w:b/>
          <w:sz w:val="24"/>
          <w:szCs w:val="24"/>
          <w:lang w:val="en"/>
        </w:rPr>
        <w:t>Outcome:</w:t>
      </w:r>
      <w:r w:rsidRPr="001320FE">
        <w:rPr>
          <w:rFonts w:ascii="Source Sans Pro" w:hAnsi="Source Sans Pro"/>
          <w:sz w:val="24"/>
          <w:szCs w:val="24"/>
          <w:lang w:val="en"/>
        </w:rPr>
        <w:t xml:space="preserve"> A validated solution for the factory and a portfolio-based assessment for the learners' micro-credentials.</w:t>
      </w:r>
    </w:p>
    <w:p w14:paraId="2C1BE4F7"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 xml:space="preserve">B. The </w:t>
      </w:r>
      <w:proofErr w:type="spellStart"/>
      <w:r w:rsidRPr="001320FE">
        <w:rPr>
          <w:rFonts w:ascii="Source Sans Pro" w:hAnsi="Source Sans Pro"/>
          <w:b/>
          <w:sz w:val="24"/>
          <w:szCs w:val="24"/>
          <w:lang w:val="en"/>
        </w:rPr>
        <w:t>PreVEnT</w:t>
      </w:r>
      <w:proofErr w:type="spellEnd"/>
      <w:r w:rsidRPr="001320FE">
        <w:rPr>
          <w:rFonts w:ascii="Source Sans Pro" w:hAnsi="Source Sans Pro"/>
          <w:b/>
          <w:sz w:val="24"/>
          <w:szCs w:val="24"/>
          <w:lang w:val="en"/>
        </w:rPr>
        <w:t xml:space="preserve"> Digital Hub (The "Ecosystem Platform"):</w:t>
      </w:r>
      <w:r w:rsidRPr="001320FE">
        <w:rPr>
          <w:rFonts w:ascii="Source Sans Pro" w:hAnsi="Source Sans Pro"/>
          <w:sz w:val="24"/>
          <w:szCs w:val="24"/>
          <w:lang w:val="en"/>
        </w:rPr>
        <w:t xml:space="preserve"> This central open-source portal, funded by Digital Europe, provides access to all:</w:t>
      </w:r>
    </w:p>
    <w:p w14:paraId="452BA881" w14:textId="77777777" w:rsidR="001320FE" w:rsidRPr="001320FE" w:rsidRDefault="001320FE">
      <w:pPr>
        <w:numPr>
          <w:ilvl w:val="0"/>
          <w:numId w:val="9"/>
        </w:numPr>
        <w:jc w:val="both"/>
        <w:rPr>
          <w:rFonts w:ascii="Source Sans Pro" w:hAnsi="Source Sans Pro"/>
          <w:sz w:val="24"/>
          <w:szCs w:val="24"/>
          <w:lang w:val="en"/>
        </w:rPr>
      </w:pPr>
      <w:r w:rsidRPr="001320FE">
        <w:rPr>
          <w:rFonts w:ascii="Source Sans Pro" w:hAnsi="Source Sans Pro"/>
          <w:b/>
          <w:sz w:val="24"/>
          <w:szCs w:val="24"/>
          <w:lang w:val="en"/>
        </w:rPr>
        <w:t>OER Repository:</w:t>
      </w:r>
      <w:r w:rsidRPr="001320FE">
        <w:rPr>
          <w:rFonts w:ascii="Source Sans Pro" w:hAnsi="Source Sans Pro"/>
          <w:sz w:val="24"/>
          <w:szCs w:val="24"/>
          <w:lang w:val="en"/>
        </w:rPr>
        <w:t xml:space="preserve"> All CU course materials (manuals, videos, datasets) under a Creative Commons license.</w:t>
      </w:r>
    </w:p>
    <w:p w14:paraId="36EC2F5C" w14:textId="77777777" w:rsidR="001320FE" w:rsidRPr="001320FE" w:rsidRDefault="001320FE">
      <w:pPr>
        <w:numPr>
          <w:ilvl w:val="0"/>
          <w:numId w:val="9"/>
        </w:numPr>
        <w:jc w:val="both"/>
        <w:rPr>
          <w:rFonts w:ascii="Source Sans Pro" w:hAnsi="Source Sans Pro"/>
          <w:sz w:val="24"/>
          <w:szCs w:val="24"/>
          <w:lang w:val="en"/>
        </w:rPr>
      </w:pPr>
      <w:r w:rsidRPr="001320FE">
        <w:rPr>
          <w:rFonts w:ascii="Source Sans Pro" w:hAnsi="Source Sans Pro"/>
          <w:b/>
          <w:sz w:val="24"/>
          <w:szCs w:val="24"/>
          <w:lang w:val="en"/>
        </w:rPr>
        <w:t>VR/AR 'Digital Twin' Sandbox:</w:t>
      </w:r>
      <w:r w:rsidRPr="001320FE">
        <w:rPr>
          <w:rFonts w:ascii="Source Sans Pro" w:hAnsi="Source Sans Pro"/>
          <w:sz w:val="24"/>
          <w:szCs w:val="24"/>
          <w:lang w:val="en"/>
        </w:rPr>
        <w:t xml:space="preserve"> Allows learners to practice dangerous (e.g., </w:t>
      </w:r>
      <w:proofErr w:type="gramStart"/>
      <w:r w:rsidRPr="001320FE">
        <w:rPr>
          <w:rFonts w:ascii="Source Sans Pro" w:hAnsi="Source Sans Pro"/>
          <w:sz w:val="24"/>
          <w:szCs w:val="24"/>
          <w:lang w:val="en"/>
        </w:rPr>
        <w:t>high-voltage</w:t>
      </w:r>
      <w:proofErr w:type="gramEnd"/>
      <w:r w:rsidRPr="001320FE">
        <w:rPr>
          <w:rFonts w:ascii="Source Sans Pro" w:hAnsi="Source Sans Pro"/>
          <w:sz w:val="24"/>
          <w:szCs w:val="24"/>
          <w:lang w:val="en"/>
        </w:rPr>
        <w:t xml:space="preserve">) or expensive (e.g., </w:t>
      </w:r>
      <w:proofErr w:type="spellStart"/>
      <w:r w:rsidRPr="001320FE">
        <w:rPr>
          <w:rFonts w:ascii="Source Sans Pro" w:hAnsi="Source Sans Pro"/>
          <w:sz w:val="24"/>
          <w:szCs w:val="24"/>
          <w:lang w:val="en"/>
        </w:rPr>
        <w:t>cobot</w:t>
      </w:r>
      <w:proofErr w:type="spellEnd"/>
      <w:r w:rsidRPr="001320FE">
        <w:rPr>
          <w:rFonts w:ascii="Source Sans Pro" w:hAnsi="Source Sans Pro"/>
          <w:sz w:val="24"/>
          <w:szCs w:val="24"/>
          <w:lang w:val="en"/>
        </w:rPr>
        <w:t xml:space="preserve"> programming) tasks in a safe virtual environment before entering the TF.</w:t>
      </w:r>
    </w:p>
    <w:p w14:paraId="1DE1B5BD" w14:textId="77777777" w:rsidR="001320FE" w:rsidRPr="001320FE" w:rsidRDefault="001320FE">
      <w:pPr>
        <w:numPr>
          <w:ilvl w:val="0"/>
          <w:numId w:val="9"/>
        </w:numPr>
        <w:jc w:val="both"/>
        <w:rPr>
          <w:rFonts w:ascii="Source Sans Pro" w:hAnsi="Source Sans Pro"/>
          <w:sz w:val="24"/>
          <w:szCs w:val="24"/>
          <w:lang w:val="en"/>
        </w:rPr>
      </w:pPr>
      <w:r w:rsidRPr="001320FE">
        <w:rPr>
          <w:rFonts w:ascii="Source Sans Pro" w:hAnsi="Source Sans Pro"/>
          <w:b/>
          <w:sz w:val="24"/>
          <w:szCs w:val="24"/>
          <w:lang w:val="en"/>
        </w:rPr>
        <w:t>LCA Tool Portal:</w:t>
      </w:r>
      <w:r w:rsidRPr="001320FE">
        <w:rPr>
          <w:rFonts w:ascii="Source Sans Pro" w:hAnsi="Source Sans Pro"/>
          <w:sz w:val="24"/>
          <w:szCs w:val="24"/>
          <w:lang w:val="en"/>
        </w:rPr>
        <w:t xml:space="preserve"> The open-source LCA tool (from CU4) will be hosted and maintained here for free use by any EU SME.</w:t>
      </w:r>
    </w:p>
    <w:p w14:paraId="7705DAEA" w14:textId="77777777" w:rsidR="001320FE" w:rsidRPr="001320FE" w:rsidRDefault="001320FE">
      <w:pPr>
        <w:numPr>
          <w:ilvl w:val="0"/>
          <w:numId w:val="9"/>
        </w:numPr>
        <w:jc w:val="both"/>
        <w:rPr>
          <w:rFonts w:ascii="Source Sans Pro" w:hAnsi="Source Sans Pro"/>
          <w:sz w:val="24"/>
          <w:szCs w:val="24"/>
          <w:lang w:val="en"/>
        </w:rPr>
      </w:pPr>
      <w:r w:rsidRPr="001320FE">
        <w:rPr>
          <w:rFonts w:ascii="Source Sans Pro" w:hAnsi="Source Sans Pro"/>
          <w:b/>
          <w:sz w:val="24"/>
          <w:szCs w:val="24"/>
          <w:lang w:val="en"/>
        </w:rPr>
        <w:t>Micro-Credential Ledger:</w:t>
      </w:r>
      <w:r w:rsidRPr="001320FE">
        <w:rPr>
          <w:rFonts w:ascii="Source Sans Pro" w:hAnsi="Source Sans Pro"/>
          <w:sz w:val="24"/>
          <w:szCs w:val="24"/>
          <w:lang w:val="en"/>
        </w:rPr>
        <w:t xml:space="preserve"> A secure, blockchain-verified ledger of all issued micro-credentials, </w:t>
      </w:r>
      <w:proofErr w:type="spellStart"/>
      <w:r w:rsidRPr="001320FE">
        <w:rPr>
          <w:rFonts w:ascii="Source Sans Pro" w:hAnsi="Source Sans Pro"/>
          <w:sz w:val="24"/>
          <w:szCs w:val="24"/>
          <w:lang w:val="en"/>
        </w:rPr>
        <w:t>queryable</w:t>
      </w:r>
      <w:proofErr w:type="spellEnd"/>
      <w:r w:rsidRPr="001320FE">
        <w:rPr>
          <w:rFonts w:ascii="Source Sans Pro" w:hAnsi="Source Sans Pro"/>
          <w:sz w:val="24"/>
          <w:szCs w:val="24"/>
          <w:lang w:val="en"/>
        </w:rPr>
        <w:t xml:space="preserve"> by employers (with learner permission) and interoperable with </w:t>
      </w:r>
      <w:proofErr w:type="spellStart"/>
      <w:r w:rsidRPr="001320FE">
        <w:rPr>
          <w:rFonts w:ascii="Source Sans Pro" w:hAnsi="Source Sans Pro"/>
          <w:sz w:val="24"/>
          <w:szCs w:val="24"/>
          <w:lang w:val="en"/>
        </w:rPr>
        <w:t>Europass</w:t>
      </w:r>
      <w:proofErr w:type="spellEnd"/>
      <w:r w:rsidRPr="001320FE">
        <w:rPr>
          <w:rFonts w:ascii="Source Sans Pro" w:hAnsi="Source Sans Pro"/>
          <w:sz w:val="24"/>
          <w:szCs w:val="24"/>
          <w:lang w:val="en"/>
        </w:rPr>
        <w:t>.</w:t>
      </w:r>
    </w:p>
    <w:p w14:paraId="450F6C4B" w14:textId="77777777" w:rsidR="00447633" w:rsidRDefault="00447633" w:rsidP="001320FE">
      <w:pPr>
        <w:jc w:val="both"/>
        <w:rPr>
          <w:rFonts w:ascii="Source Sans Pro" w:hAnsi="Source Sans Pro"/>
          <w:b/>
          <w:sz w:val="24"/>
          <w:szCs w:val="24"/>
          <w:lang w:val="en"/>
        </w:rPr>
      </w:pPr>
      <w:bookmarkStart w:id="21" w:name="_9f0rb5115wse"/>
      <w:bookmarkEnd w:id="21"/>
    </w:p>
    <w:p w14:paraId="36AC393F" w14:textId="0B3D2DB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5.3. Pillar 3: Inclusion and Regional Equity</w:t>
      </w:r>
    </w:p>
    <w:p w14:paraId="081CF1A5"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This pillar ensures the 'twin transition' is a just transition, with powerful financial and structural mechanisms to prevent a "skills divide."</w:t>
      </w:r>
    </w:p>
    <w:p w14:paraId="596EEC8E"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A. Mandatory 30% Inclusion Quota:</w:t>
      </w:r>
      <w:r w:rsidRPr="001320FE">
        <w:rPr>
          <w:rFonts w:ascii="Source Sans Pro" w:hAnsi="Source Sans Pro"/>
          <w:sz w:val="24"/>
          <w:szCs w:val="24"/>
          <w:lang w:val="en"/>
        </w:rPr>
        <w:t xml:space="preserve"> This is the pillar's most critical mechanism. All funding (ESF+ vouchers, Erasmus+ TF grants) is contingent on meeting a </w:t>
      </w:r>
      <w:r w:rsidRPr="001320FE">
        <w:rPr>
          <w:rFonts w:ascii="Source Sans Pro" w:hAnsi="Source Sans Pro"/>
          <w:b/>
          <w:sz w:val="24"/>
          <w:szCs w:val="24"/>
          <w:lang w:val="en"/>
        </w:rPr>
        <w:t>mandatory 30% quota</w:t>
      </w:r>
      <w:r w:rsidRPr="001320FE">
        <w:rPr>
          <w:rFonts w:ascii="Source Sans Pro" w:hAnsi="Source Sans Pro"/>
          <w:sz w:val="24"/>
          <w:szCs w:val="24"/>
          <w:lang w:val="en"/>
        </w:rPr>
        <w:t xml:space="preserve"> for participation from demonstrably at-risk groups.</w:t>
      </w:r>
    </w:p>
    <w:p w14:paraId="0F75E479" w14:textId="77777777" w:rsidR="001320FE" w:rsidRPr="001320FE" w:rsidRDefault="001320FE">
      <w:pPr>
        <w:numPr>
          <w:ilvl w:val="0"/>
          <w:numId w:val="10"/>
        </w:numPr>
        <w:jc w:val="both"/>
        <w:rPr>
          <w:rFonts w:ascii="Source Sans Pro" w:hAnsi="Source Sans Pro"/>
          <w:sz w:val="24"/>
          <w:szCs w:val="24"/>
          <w:lang w:val="en"/>
        </w:rPr>
      </w:pPr>
      <w:r w:rsidRPr="001320FE">
        <w:rPr>
          <w:rFonts w:ascii="Source Sans Pro" w:hAnsi="Source Sans Pro"/>
          <w:b/>
          <w:sz w:val="24"/>
          <w:szCs w:val="24"/>
          <w:lang w:val="en"/>
        </w:rPr>
        <w:t>Target Groups:</w:t>
      </w:r>
      <w:r w:rsidRPr="001320FE">
        <w:rPr>
          <w:rFonts w:ascii="Source Sans Pro" w:hAnsi="Source Sans Pro"/>
          <w:sz w:val="24"/>
          <w:szCs w:val="24"/>
          <w:lang w:val="en"/>
        </w:rPr>
        <w:t xml:space="preserve"> NEETs (Not in Education, Employment, or Training), workers aged 50+, migrants (with a focus on recognition of prior learning), and </w:t>
      </w:r>
      <w:proofErr w:type="gramStart"/>
      <w:r w:rsidRPr="001320FE">
        <w:rPr>
          <w:rFonts w:ascii="Source Sans Pro" w:hAnsi="Source Sans Pro"/>
          <w:sz w:val="24"/>
          <w:szCs w:val="24"/>
          <w:lang w:val="en"/>
        </w:rPr>
        <w:t>persons</w:t>
      </w:r>
      <w:proofErr w:type="gramEnd"/>
      <w:r w:rsidRPr="001320FE">
        <w:rPr>
          <w:rFonts w:ascii="Source Sans Pro" w:hAnsi="Source Sans Pro"/>
          <w:sz w:val="24"/>
          <w:szCs w:val="24"/>
          <w:lang w:val="en"/>
        </w:rPr>
        <w:t xml:space="preserve"> with disabilities.</w:t>
      </w:r>
    </w:p>
    <w:p w14:paraId="38CAA41D" w14:textId="77777777" w:rsidR="001320FE" w:rsidRPr="001320FE" w:rsidRDefault="001320FE">
      <w:pPr>
        <w:numPr>
          <w:ilvl w:val="0"/>
          <w:numId w:val="10"/>
        </w:numPr>
        <w:jc w:val="both"/>
        <w:rPr>
          <w:rFonts w:ascii="Source Sans Pro" w:hAnsi="Source Sans Pro"/>
          <w:sz w:val="24"/>
          <w:szCs w:val="24"/>
          <w:lang w:val="en"/>
        </w:rPr>
      </w:pPr>
      <w:r w:rsidRPr="001320FE">
        <w:rPr>
          <w:rFonts w:ascii="Source Sans Pro" w:hAnsi="Source Sans Pro"/>
          <w:b/>
          <w:sz w:val="24"/>
          <w:szCs w:val="24"/>
          <w:lang w:val="en"/>
        </w:rPr>
        <w:t>Enforcement:</w:t>
      </w:r>
      <w:r w:rsidRPr="001320FE">
        <w:rPr>
          <w:rFonts w:ascii="Source Sans Pro" w:hAnsi="Source Sans Pro"/>
          <w:sz w:val="24"/>
          <w:szCs w:val="24"/>
          <w:lang w:val="en"/>
        </w:rPr>
        <w:t xml:space="preserve"> The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-Eco QA Board (see 6.1) will conduct annual audits. Providers who fail to meet the quota will face a 25% funding reduction in the following year. Providers who </w:t>
      </w:r>
      <w:r w:rsidRPr="001320FE">
        <w:rPr>
          <w:rFonts w:ascii="Source Sans Pro" w:hAnsi="Source Sans Pro"/>
          <w:i/>
          <w:sz w:val="24"/>
          <w:szCs w:val="24"/>
          <w:lang w:val="en"/>
        </w:rPr>
        <w:t>exceed</w:t>
      </w:r>
      <w:r w:rsidRPr="001320FE">
        <w:rPr>
          <w:rFonts w:ascii="Source Sans Pro" w:hAnsi="Source Sans Pro"/>
          <w:sz w:val="24"/>
          <w:szCs w:val="24"/>
          <w:lang w:val="en"/>
        </w:rPr>
        <w:t xml:space="preserve"> the quota by 10% will receive a 10% bonus, creating a strong financial incentive.</w:t>
      </w:r>
    </w:p>
    <w:p w14:paraId="5106C22D" w14:textId="77777777" w:rsidR="001320FE" w:rsidRPr="001320FE" w:rsidRDefault="001320FE">
      <w:pPr>
        <w:numPr>
          <w:ilvl w:val="0"/>
          <w:numId w:val="10"/>
        </w:numPr>
        <w:jc w:val="both"/>
        <w:rPr>
          <w:rFonts w:ascii="Source Sans Pro" w:hAnsi="Source Sans Pro"/>
          <w:sz w:val="24"/>
          <w:szCs w:val="24"/>
          <w:lang w:val="en"/>
        </w:rPr>
      </w:pPr>
      <w:r w:rsidRPr="001320FE">
        <w:rPr>
          <w:rFonts w:ascii="Source Sans Pro" w:hAnsi="Source Sans Pro"/>
          <w:b/>
          <w:sz w:val="24"/>
          <w:szCs w:val="24"/>
          <w:lang w:val="en"/>
        </w:rPr>
        <w:t>Outreach:</w:t>
      </w:r>
      <w:r w:rsidRPr="001320FE">
        <w:rPr>
          <w:rFonts w:ascii="Source Sans Pro" w:hAnsi="Source Sans Pro"/>
          <w:sz w:val="24"/>
          <w:szCs w:val="24"/>
          <w:lang w:val="en"/>
        </w:rPr>
        <w:t xml:space="preserve"> A dedicated 5% of the ESF+ budget will be allocated to NGOs and Public Employment Services to act as "brokers" to run targeted outreach campaigns and provide wrap-around support (e.g., language, digital literacy) to these groups.</w:t>
      </w:r>
    </w:p>
    <w:p w14:paraId="0B5429CB"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B. 500 Rural Digital Hubs (The "Spokes"):</w:t>
      </w:r>
      <w:r w:rsidRPr="001320FE">
        <w:rPr>
          <w:rFonts w:ascii="Source Sans Pro" w:hAnsi="Source Sans Pro"/>
          <w:sz w:val="24"/>
          <w:szCs w:val="24"/>
          <w:lang w:val="en"/>
        </w:rPr>
        <w:t xml:space="preserve"> To combat the industrial and digital divide, 500 "Rural Digital Hubs" will be funded in existing libraries or municipal buildings in NUTS-3 regions with a GDP below 75% of the EU average. These hubs will be equipped with high-</w:t>
      </w:r>
      <w:r w:rsidRPr="001320FE">
        <w:rPr>
          <w:rFonts w:ascii="Source Sans Pro" w:hAnsi="Source Sans Pro"/>
          <w:sz w:val="24"/>
          <w:szCs w:val="24"/>
          <w:lang w:val="en"/>
        </w:rPr>
        <w:lastRenderedPageBreak/>
        <w:t xml:space="preserve">speed 5G/broadband and 5-10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VR simulation kits. They will act as "spokes," allowing learners in remote areas to access </w:t>
      </w:r>
      <w:proofErr w:type="gramStart"/>
      <w:r w:rsidRPr="001320FE">
        <w:rPr>
          <w:rFonts w:ascii="Source Sans Pro" w:hAnsi="Source Sans Pro"/>
          <w:sz w:val="24"/>
          <w:szCs w:val="24"/>
          <w:lang w:val="en"/>
        </w:rPr>
        <w:t>the Digital</w:t>
      </w:r>
      <w:proofErr w:type="gramEnd"/>
      <w:r w:rsidRPr="001320FE">
        <w:rPr>
          <w:rFonts w:ascii="Source Sans Pro" w:hAnsi="Source Sans Pro"/>
          <w:sz w:val="24"/>
          <w:szCs w:val="24"/>
          <w:lang w:val="en"/>
        </w:rPr>
        <w:t xml:space="preserve"> Hub's VR Sandbox and participate in virtual Teaching Factory experiences.</w:t>
      </w:r>
    </w:p>
    <w:p w14:paraId="36967EB7" w14:textId="77777777" w:rsidR="00447633" w:rsidRDefault="00447633" w:rsidP="001320FE">
      <w:pPr>
        <w:jc w:val="both"/>
        <w:rPr>
          <w:rFonts w:ascii="Source Sans Pro" w:hAnsi="Source Sans Pro"/>
          <w:b/>
          <w:sz w:val="24"/>
          <w:szCs w:val="24"/>
          <w:lang w:val="en"/>
        </w:rPr>
      </w:pPr>
      <w:bookmarkStart w:id="22" w:name="_n79viyq70ril"/>
      <w:bookmarkEnd w:id="22"/>
    </w:p>
    <w:p w14:paraId="36D4045F" w14:textId="7BBA568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5.4. Pillar 4: Data-Driven Impact Measurement</w:t>
      </w:r>
    </w:p>
    <w:p w14:paraId="7EB8901E"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This pillar establishes a data-driven approach to governance, managed via a public-facing KPI Dashboard. This ensures accountability and allows for real-time policy adjustments.</w:t>
      </w:r>
    </w:p>
    <w:p w14:paraId="097DC66A"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A. Key Performance Indicator (KPI) Dashboard:</w:t>
      </w:r>
      <w:r w:rsidRPr="001320FE">
        <w:rPr>
          <w:rFonts w:ascii="Source Sans Pro" w:hAnsi="Source Sans Pro"/>
          <w:sz w:val="24"/>
          <w:szCs w:val="24"/>
          <w:lang w:val="en"/>
        </w:rPr>
        <w:t xml:space="preserve"> Annual reporting on these KPIs will be mandatory for all National Agencies and TF operators.</w:t>
      </w:r>
    </w:p>
    <w:tbl>
      <w:tblPr>
        <w:tblW w:w="9015" w:type="dxa"/>
        <w:tblBorders>
          <w:insideH w:val="nil"/>
          <w:insideV w:val="nil"/>
        </w:tblBorders>
        <w:tblLayout w:type="fixed"/>
        <w:tblLook w:val="0600" w:firstRow="0" w:lastRow="0" w:firstColumn="0" w:lastColumn="0" w:noHBand="1" w:noVBand="1"/>
      </w:tblPr>
      <w:tblGrid>
        <w:gridCol w:w="1820"/>
        <w:gridCol w:w="5285"/>
        <w:gridCol w:w="1910"/>
      </w:tblGrid>
      <w:tr w:rsidR="001320FE" w:rsidRPr="001320FE" w14:paraId="61089252" w14:textId="77777777">
        <w:trPr>
          <w:trHeight w:val="530"/>
        </w:trPr>
        <w:tc>
          <w:tcPr>
            <w:tcW w:w="1820" w:type="dxa"/>
            <w:tcBorders>
              <w:top w:val="nil"/>
              <w:left w:val="nil"/>
              <w:bottom w:val="nil"/>
              <w:right w:val="nil"/>
            </w:tcBorders>
            <w:tcMar>
              <w:top w:w="100" w:type="dxa"/>
              <w:left w:w="100" w:type="dxa"/>
              <w:bottom w:w="100" w:type="dxa"/>
              <w:right w:w="100" w:type="dxa"/>
            </w:tcMar>
            <w:hideMark/>
          </w:tcPr>
          <w:p w14:paraId="39317932"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Domain</w:t>
            </w:r>
          </w:p>
        </w:tc>
        <w:tc>
          <w:tcPr>
            <w:tcW w:w="5285" w:type="dxa"/>
            <w:tcBorders>
              <w:top w:val="nil"/>
              <w:left w:val="nil"/>
              <w:bottom w:val="nil"/>
              <w:right w:val="nil"/>
            </w:tcBorders>
            <w:tcMar>
              <w:top w:w="100" w:type="dxa"/>
              <w:left w:w="100" w:type="dxa"/>
              <w:bottom w:w="100" w:type="dxa"/>
              <w:right w:w="100" w:type="dxa"/>
            </w:tcMar>
            <w:hideMark/>
          </w:tcPr>
          <w:p w14:paraId="3A033ED8"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Key Performance Indicator</w:t>
            </w:r>
          </w:p>
        </w:tc>
        <w:tc>
          <w:tcPr>
            <w:tcW w:w="1910" w:type="dxa"/>
            <w:tcBorders>
              <w:top w:val="nil"/>
              <w:left w:val="nil"/>
              <w:bottom w:val="nil"/>
              <w:right w:val="nil"/>
            </w:tcBorders>
            <w:tcMar>
              <w:top w:w="100" w:type="dxa"/>
              <w:left w:w="100" w:type="dxa"/>
              <w:bottom w:w="100" w:type="dxa"/>
              <w:right w:w="100" w:type="dxa"/>
            </w:tcMar>
            <w:hideMark/>
          </w:tcPr>
          <w:p w14:paraId="298EA97B"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Target (by 2035)</w:t>
            </w:r>
          </w:p>
        </w:tc>
      </w:tr>
      <w:tr w:rsidR="001320FE" w:rsidRPr="001320FE" w14:paraId="73E98026" w14:textId="77777777">
        <w:trPr>
          <w:trHeight w:val="530"/>
        </w:trPr>
        <w:tc>
          <w:tcPr>
            <w:tcW w:w="1820" w:type="dxa"/>
            <w:tcBorders>
              <w:top w:val="nil"/>
              <w:left w:val="nil"/>
              <w:bottom w:val="nil"/>
              <w:right w:val="nil"/>
            </w:tcBorders>
            <w:tcMar>
              <w:top w:w="100" w:type="dxa"/>
              <w:left w:w="100" w:type="dxa"/>
              <w:bottom w:w="100" w:type="dxa"/>
              <w:right w:w="100" w:type="dxa"/>
            </w:tcMar>
            <w:hideMark/>
          </w:tcPr>
          <w:p w14:paraId="20E24E4D"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Productivity</w:t>
            </w:r>
          </w:p>
        </w:tc>
        <w:tc>
          <w:tcPr>
            <w:tcW w:w="5285" w:type="dxa"/>
            <w:tcBorders>
              <w:top w:val="nil"/>
              <w:left w:val="nil"/>
              <w:bottom w:val="nil"/>
              <w:right w:val="nil"/>
            </w:tcBorders>
            <w:tcMar>
              <w:top w:w="100" w:type="dxa"/>
              <w:left w:w="100" w:type="dxa"/>
              <w:bottom w:w="100" w:type="dxa"/>
              <w:right w:w="100" w:type="dxa"/>
            </w:tcMar>
            <w:hideMark/>
          </w:tcPr>
          <w:p w14:paraId="24E292C7"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Reduction in unplanned downtime in partner firms</w:t>
            </w:r>
          </w:p>
        </w:tc>
        <w:tc>
          <w:tcPr>
            <w:tcW w:w="1910" w:type="dxa"/>
            <w:tcBorders>
              <w:top w:val="nil"/>
              <w:left w:val="nil"/>
              <w:bottom w:val="nil"/>
              <w:right w:val="nil"/>
            </w:tcBorders>
            <w:tcMar>
              <w:top w:w="100" w:type="dxa"/>
              <w:left w:w="100" w:type="dxa"/>
              <w:bottom w:w="100" w:type="dxa"/>
              <w:right w:w="100" w:type="dxa"/>
            </w:tcMar>
            <w:hideMark/>
          </w:tcPr>
          <w:p w14:paraId="2325959D"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-25%</w:t>
            </w:r>
          </w:p>
        </w:tc>
      </w:tr>
      <w:tr w:rsidR="001320FE" w:rsidRPr="001320FE" w14:paraId="370B86FA" w14:textId="77777777">
        <w:trPr>
          <w:trHeight w:val="530"/>
        </w:trPr>
        <w:tc>
          <w:tcPr>
            <w:tcW w:w="1820" w:type="dxa"/>
            <w:tcBorders>
              <w:top w:val="nil"/>
              <w:left w:val="nil"/>
              <w:bottom w:val="nil"/>
              <w:right w:val="nil"/>
            </w:tcBorders>
            <w:tcMar>
              <w:top w:w="100" w:type="dxa"/>
              <w:left w:w="100" w:type="dxa"/>
              <w:bottom w:w="100" w:type="dxa"/>
              <w:right w:w="100" w:type="dxa"/>
            </w:tcMar>
            <w:hideMark/>
          </w:tcPr>
          <w:p w14:paraId="5FE62305"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Sustainability</w:t>
            </w:r>
          </w:p>
        </w:tc>
        <w:tc>
          <w:tcPr>
            <w:tcW w:w="5285" w:type="dxa"/>
            <w:tcBorders>
              <w:top w:val="nil"/>
              <w:left w:val="nil"/>
              <w:bottom w:val="nil"/>
              <w:right w:val="nil"/>
            </w:tcBorders>
            <w:tcMar>
              <w:top w:w="100" w:type="dxa"/>
              <w:left w:w="100" w:type="dxa"/>
              <w:bottom w:w="100" w:type="dxa"/>
              <w:right w:w="100" w:type="dxa"/>
            </w:tcMar>
            <w:hideMark/>
          </w:tcPr>
          <w:p w14:paraId="1ADA6257"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CO₂ </w:t>
            </w:r>
            <w:proofErr w:type="spellStart"/>
            <w:r w:rsidRPr="001320FE">
              <w:rPr>
                <w:rFonts w:ascii="Source Sans Pro" w:hAnsi="Source Sans Pro"/>
                <w:sz w:val="24"/>
                <w:szCs w:val="24"/>
                <w:lang w:val="en"/>
              </w:rPr>
              <w:t>tonnes</w:t>
            </w:r>
            <w:proofErr w:type="spellEnd"/>
            <w:r w:rsidRPr="001320FE">
              <w:rPr>
                <w:rFonts w:ascii="Source Sans Pro" w:hAnsi="Source Sans Pro"/>
                <w:sz w:val="24"/>
                <w:szCs w:val="24"/>
                <w:lang w:val="en"/>
              </w:rPr>
              <w:t xml:space="preserve"> saved via LCA-optimized maintenance</w:t>
            </w:r>
          </w:p>
        </w:tc>
        <w:tc>
          <w:tcPr>
            <w:tcW w:w="1910" w:type="dxa"/>
            <w:tcBorders>
              <w:top w:val="nil"/>
              <w:left w:val="nil"/>
              <w:bottom w:val="nil"/>
              <w:right w:val="nil"/>
            </w:tcBorders>
            <w:tcMar>
              <w:top w:w="100" w:type="dxa"/>
              <w:left w:w="100" w:type="dxa"/>
              <w:bottom w:w="100" w:type="dxa"/>
              <w:right w:w="100" w:type="dxa"/>
            </w:tcMar>
            <w:hideMark/>
          </w:tcPr>
          <w:p w14:paraId="46FB702F"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5 Mt per year</w:t>
            </w:r>
          </w:p>
        </w:tc>
      </w:tr>
      <w:tr w:rsidR="001320FE" w:rsidRPr="001320FE" w14:paraId="6B168D1A" w14:textId="77777777">
        <w:trPr>
          <w:trHeight w:val="530"/>
        </w:trPr>
        <w:tc>
          <w:tcPr>
            <w:tcW w:w="1820" w:type="dxa"/>
            <w:tcBorders>
              <w:top w:val="nil"/>
              <w:left w:val="nil"/>
              <w:bottom w:val="nil"/>
              <w:right w:val="nil"/>
            </w:tcBorders>
            <w:tcMar>
              <w:top w:w="100" w:type="dxa"/>
              <w:left w:w="100" w:type="dxa"/>
              <w:bottom w:w="100" w:type="dxa"/>
              <w:right w:w="100" w:type="dxa"/>
            </w:tcMar>
            <w:hideMark/>
          </w:tcPr>
          <w:p w14:paraId="5045FEBC"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Sustainability</w:t>
            </w:r>
          </w:p>
        </w:tc>
        <w:tc>
          <w:tcPr>
            <w:tcW w:w="5285" w:type="dxa"/>
            <w:tcBorders>
              <w:top w:val="nil"/>
              <w:left w:val="nil"/>
              <w:bottom w:val="nil"/>
              <w:right w:val="nil"/>
            </w:tcBorders>
            <w:tcMar>
              <w:top w:w="100" w:type="dxa"/>
              <w:left w:w="100" w:type="dxa"/>
              <w:bottom w:w="100" w:type="dxa"/>
              <w:right w:w="100" w:type="dxa"/>
            </w:tcMar>
            <w:hideMark/>
          </w:tcPr>
          <w:p w14:paraId="284A4AF0"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increase in material circularity (repair vs. replace)</w:t>
            </w:r>
          </w:p>
        </w:tc>
        <w:tc>
          <w:tcPr>
            <w:tcW w:w="1910" w:type="dxa"/>
            <w:tcBorders>
              <w:top w:val="nil"/>
              <w:left w:val="nil"/>
              <w:bottom w:val="nil"/>
              <w:right w:val="nil"/>
            </w:tcBorders>
            <w:tcMar>
              <w:top w:w="100" w:type="dxa"/>
              <w:left w:w="100" w:type="dxa"/>
              <w:bottom w:w="100" w:type="dxa"/>
              <w:right w:w="100" w:type="dxa"/>
            </w:tcMar>
            <w:hideMark/>
          </w:tcPr>
          <w:p w14:paraId="4529AE75"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+40%</w:t>
            </w:r>
          </w:p>
        </w:tc>
      </w:tr>
      <w:tr w:rsidR="001320FE" w:rsidRPr="001320FE" w14:paraId="39D3E531" w14:textId="77777777">
        <w:trPr>
          <w:trHeight w:val="530"/>
        </w:trPr>
        <w:tc>
          <w:tcPr>
            <w:tcW w:w="1820" w:type="dxa"/>
            <w:tcBorders>
              <w:top w:val="nil"/>
              <w:left w:val="nil"/>
              <w:bottom w:val="nil"/>
              <w:right w:val="nil"/>
            </w:tcBorders>
            <w:tcMar>
              <w:top w:w="100" w:type="dxa"/>
              <w:left w:w="100" w:type="dxa"/>
              <w:bottom w:w="100" w:type="dxa"/>
              <w:right w:w="100" w:type="dxa"/>
            </w:tcMar>
            <w:hideMark/>
          </w:tcPr>
          <w:p w14:paraId="5B300D0A"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Human Capital</w:t>
            </w:r>
          </w:p>
        </w:tc>
        <w:tc>
          <w:tcPr>
            <w:tcW w:w="5285" w:type="dxa"/>
            <w:tcBorders>
              <w:top w:val="nil"/>
              <w:left w:val="nil"/>
              <w:bottom w:val="nil"/>
              <w:right w:val="nil"/>
            </w:tcBorders>
            <w:tcMar>
              <w:top w:w="100" w:type="dxa"/>
              <w:left w:w="100" w:type="dxa"/>
              <w:bottom w:w="100" w:type="dxa"/>
              <w:right w:w="100" w:type="dxa"/>
            </w:tcMar>
            <w:hideMark/>
          </w:tcPr>
          <w:p w14:paraId="5D71165E"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Micro-credentials issued (total)</w:t>
            </w:r>
          </w:p>
        </w:tc>
        <w:tc>
          <w:tcPr>
            <w:tcW w:w="1910" w:type="dxa"/>
            <w:tcBorders>
              <w:top w:val="nil"/>
              <w:left w:val="nil"/>
              <w:bottom w:val="nil"/>
              <w:right w:val="nil"/>
            </w:tcBorders>
            <w:tcMar>
              <w:top w:w="100" w:type="dxa"/>
              <w:left w:w="100" w:type="dxa"/>
              <w:bottom w:w="100" w:type="dxa"/>
              <w:right w:w="100" w:type="dxa"/>
            </w:tcMar>
            <w:hideMark/>
          </w:tcPr>
          <w:p w14:paraId="5673F6E7"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300,000 / year</w:t>
            </w:r>
          </w:p>
        </w:tc>
      </w:tr>
      <w:tr w:rsidR="001320FE" w:rsidRPr="001320FE" w14:paraId="2FF42E18" w14:textId="77777777">
        <w:trPr>
          <w:trHeight w:val="530"/>
        </w:trPr>
        <w:tc>
          <w:tcPr>
            <w:tcW w:w="1820" w:type="dxa"/>
            <w:tcBorders>
              <w:top w:val="nil"/>
              <w:left w:val="nil"/>
              <w:bottom w:val="nil"/>
              <w:right w:val="nil"/>
            </w:tcBorders>
            <w:tcMar>
              <w:top w:w="100" w:type="dxa"/>
              <w:left w:w="100" w:type="dxa"/>
              <w:bottom w:w="100" w:type="dxa"/>
              <w:right w:w="100" w:type="dxa"/>
            </w:tcMar>
            <w:hideMark/>
          </w:tcPr>
          <w:p w14:paraId="110C6A83"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Human Capital</w:t>
            </w:r>
          </w:p>
        </w:tc>
        <w:tc>
          <w:tcPr>
            <w:tcW w:w="5285" w:type="dxa"/>
            <w:tcBorders>
              <w:top w:val="nil"/>
              <w:left w:val="nil"/>
              <w:bottom w:val="nil"/>
              <w:right w:val="nil"/>
            </w:tcBorders>
            <w:tcMar>
              <w:top w:w="100" w:type="dxa"/>
              <w:left w:w="100" w:type="dxa"/>
              <w:bottom w:w="100" w:type="dxa"/>
              <w:right w:w="100" w:type="dxa"/>
            </w:tcMar>
            <w:hideMark/>
          </w:tcPr>
          <w:p w14:paraId="245ED1AC"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Employment in green-digital industrial roles</w:t>
            </w:r>
          </w:p>
        </w:tc>
        <w:tc>
          <w:tcPr>
            <w:tcW w:w="1910" w:type="dxa"/>
            <w:tcBorders>
              <w:top w:val="nil"/>
              <w:left w:val="nil"/>
              <w:bottom w:val="nil"/>
              <w:right w:val="nil"/>
            </w:tcBorders>
            <w:tcMar>
              <w:top w:w="100" w:type="dxa"/>
              <w:left w:w="100" w:type="dxa"/>
              <w:bottom w:w="100" w:type="dxa"/>
              <w:right w:w="100" w:type="dxa"/>
            </w:tcMar>
            <w:hideMark/>
          </w:tcPr>
          <w:p w14:paraId="649E8228"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+150,000 jobs</w:t>
            </w:r>
          </w:p>
        </w:tc>
      </w:tr>
      <w:tr w:rsidR="001320FE" w:rsidRPr="001320FE" w14:paraId="71D2CDC8" w14:textId="77777777">
        <w:trPr>
          <w:trHeight w:val="530"/>
        </w:trPr>
        <w:tc>
          <w:tcPr>
            <w:tcW w:w="1820" w:type="dxa"/>
            <w:tcBorders>
              <w:top w:val="nil"/>
              <w:left w:val="nil"/>
              <w:bottom w:val="nil"/>
              <w:right w:val="nil"/>
            </w:tcBorders>
            <w:tcMar>
              <w:top w:w="100" w:type="dxa"/>
              <w:left w:w="100" w:type="dxa"/>
              <w:bottom w:w="100" w:type="dxa"/>
              <w:right w:w="100" w:type="dxa"/>
            </w:tcMar>
            <w:hideMark/>
          </w:tcPr>
          <w:p w14:paraId="45992855"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Human Capital</w:t>
            </w:r>
          </w:p>
        </w:tc>
        <w:tc>
          <w:tcPr>
            <w:tcW w:w="5285" w:type="dxa"/>
            <w:tcBorders>
              <w:top w:val="nil"/>
              <w:left w:val="nil"/>
              <w:bottom w:val="nil"/>
              <w:right w:val="nil"/>
            </w:tcBorders>
            <w:tcMar>
              <w:top w:w="100" w:type="dxa"/>
              <w:left w:w="100" w:type="dxa"/>
              <w:bottom w:w="100" w:type="dxa"/>
              <w:right w:w="100" w:type="dxa"/>
            </w:tcMar>
            <w:hideMark/>
          </w:tcPr>
          <w:p w14:paraId="1FAD2803"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OER Hub unique users</w:t>
            </w:r>
          </w:p>
        </w:tc>
        <w:tc>
          <w:tcPr>
            <w:tcW w:w="1910" w:type="dxa"/>
            <w:tcBorders>
              <w:top w:val="nil"/>
              <w:left w:val="nil"/>
              <w:bottom w:val="nil"/>
              <w:right w:val="nil"/>
            </w:tcBorders>
            <w:tcMar>
              <w:top w:w="100" w:type="dxa"/>
              <w:left w:w="100" w:type="dxa"/>
              <w:bottom w:w="100" w:type="dxa"/>
              <w:right w:w="100" w:type="dxa"/>
            </w:tcMar>
            <w:hideMark/>
          </w:tcPr>
          <w:p w14:paraId="50E4BA7A"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1,000,000</w:t>
            </w:r>
          </w:p>
        </w:tc>
      </w:tr>
      <w:tr w:rsidR="001320FE" w:rsidRPr="001320FE" w14:paraId="20559B5F" w14:textId="77777777">
        <w:trPr>
          <w:trHeight w:val="530"/>
        </w:trPr>
        <w:tc>
          <w:tcPr>
            <w:tcW w:w="1820" w:type="dxa"/>
            <w:tcBorders>
              <w:top w:val="nil"/>
              <w:left w:val="nil"/>
              <w:bottom w:val="nil"/>
              <w:right w:val="nil"/>
            </w:tcBorders>
            <w:tcMar>
              <w:top w:w="100" w:type="dxa"/>
              <w:left w:w="100" w:type="dxa"/>
              <w:bottom w:w="100" w:type="dxa"/>
              <w:right w:w="100" w:type="dxa"/>
            </w:tcMar>
            <w:hideMark/>
          </w:tcPr>
          <w:p w14:paraId="3F2D6E56"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Inclusion</w:t>
            </w:r>
          </w:p>
        </w:tc>
        <w:tc>
          <w:tcPr>
            <w:tcW w:w="5285" w:type="dxa"/>
            <w:tcBorders>
              <w:top w:val="nil"/>
              <w:left w:val="nil"/>
              <w:bottom w:val="nil"/>
              <w:right w:val="nil"/>
            </w:tcBorders>
            <w:tcMar>
              <w:top w:w="100" w:type="dxa"/>
              <w:left w:w="100" w:type="dxa"/>
              <w:bottom w:w="100" w:type="dxa"/>
              <w:right w:w="100" w:type="dxa"/>
            </w:tcMar>
            <w:hideMark/>
          </w:tcPr>
          <w:p w14:paraId="4CEEBCAC"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Participation rate of at-risk groups</w:t>
            </w:r>
          </w:p>
        </w:tc>
        <w:tc>
          <w:tcPr>
            <w:tcW w:w="1910" w:type="dxa"/>
            <w:tcBorders>
              <w:top w:val="nil"/>
              <w:left w:val="nil"/>
              <w:bottom w:val="nil"/>
              <w:right w:val="nil"/>
            </w:tcBorders>
            <w:tcMar>
              <w:top w:w="100" w:type="dxa"/>
              <w:left w:w="100" w:type="dxa"/>
              <w:bottom w:w="100" w:type="dxa"/>
              <w:right w:w="100" w:type="dxa"/>
            </w:tcMar>
            <w:hideMark/>
          </w:tcPr>
          <w:p w14:paraId="7DC8EDBE"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30%</w:t>
            </w:r>
          </w:p>
        </w:tc>
      </w:tr>
      <w:tr w:rsidR="001320FE" w:rsidRPr="001320FE" w14:paraId="7438F944" w14:textId="77777777">
        <w:trPr>
          <w:trHeight w:val="530"/>
        </w:trPr>
        <w:tc>
          <w:tcPr>
            <w:tcW w:w="1820" w:type="dxa"/>
            <w:tcBorders>
              <w:top w:val="nil"/>
              <w:left w:val="nil"/>
              <w:bottom w:val="nil"/>
              <w:right w:val="nil"/>
            </w:tcBorders>
            <w:tcMar>
              <w:top w:w="100" w:type="dxa"/>
              <w:left w:w="100" w:type="dxa"/>
              <w:bottom w:w="100" w:type="dxa"/>
              <w:right w:w="100" w:type="dxa"/>
            </w:tcMar>
            <w:hideMark/>
          </w:tcPr>
          <w:p w14:paraId="0F363D0B"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Inclusion</w:t>
            </w:r>
          </w:p>
        </w:tc>
        <w:tc>
          <w:tcPr>
            <w:tcW w:w="5285" w:type="dxa"/>
            <w:tcBorders>
              <w:top w:val="nil"/>
              <w:left w:val="nil"/>
              <w:bottom w:val="nil"/>
              <w:right w:val="nil"/>
            </w:tcBorders>
            <w:tcMar>
              <w:top w:w="100" w:type="dxa"/>
              <w:left w:w="100" w:type="dxa"/>
              <w:bottom w:w="100" w:type="dxa"/>
              <w:right w:w="100" w:type="dxa"/>
            </w:tcMar>
            <w:hideMark/>
          </w:tcPr>
          <w:p w14:paraId="2ED084F2"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of vouchers redeemed by SME employees</w:t>
            </w:r>
          </w:p>
        </w:tc>
        <w:tc>
          <w:tcPr>
            <w:tcW w:w="1910" w:type="dxa"/>
            <w:tcBorders>
              <w:top w:val="nil"/>
              <w:left w:val="nil"/>
              <w:bottom w:val="nil"/>
              <w:right w:val="nil"/>
            </w:tcBorders>
            <w:tcMar>
              <w:top w:w="100" w:type="dxa"/>
              <w:left w:w="100" w:type="dxa"/>
              <w:bottom w:w="100" w:type="dxa"/>
              <w:right w:w="100" w:type="dxa"/>
            </w:tcMar>
            <w:hideMark/>
          </w:tcPr>
          <w:p w14:paraId="1089095D"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50%</w:t>
            </w:r>
          </w:p>
        </w:tc>
      </w:tr>
      <w:tr w:rsidR="001320FE" w:rsidRPr="001320FE" w14:paraId="2902450D" w14:textId="77777777">
        <w:trPr>
          <w:trHeight w:val="530"/>
        </w:trPr>
        <w:tc>
          <w:tcPr>
            <w:tcW w:w="1820" w:type="dxa"/>
            <w:tcBorders>
              <w:top w:val="nil"/>
              <w:left w:val="nil"/>
              <w:bottom w:val="nil"/>
              <w:right w:val="nil"/>
            </w:tcBorders>
            <w:tcMar>
              <w:top w:w="100" w:type="dxa"/>
              <w:left w:w="100" w:type="dxa"/>
              <w:bottom w:w="100" w:type="dxa"/>
              <w:right w:w="100" w:type="dxa"/>
            </w:tcMar>
            <w:hideMark/>
          </w:tcPr>
          <w:p w14:paraId="48BFA6A8"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Inclusion</w:t>
            </w:r>
          </w:p>
        </w:tc>
        <w:tc>
          <w:tcPr>
            <w:tcW w:w="5285" w:type="dxa"/>
            <w:tcBorders>
              <w:top w:val="nil"/>
              <w:left w:val="nil"/>
              <w:bottom w:val="nil"/>
              <w:right w:val="nil"/>
            </w:tcBorders>
            <w:tcMar>
              <w:top w:w="100" w:type="dxa"/>
              <w:left w:w="100" w:type="dxa"/>
              <w:bottom w:w="100" w:type="dxa"/>
              <w:right w:w="100" w:type="dxa"/>
            </w:tcMar>
            <w:hideMark/>
          </w:tcPr>
          <w:p w14:paraId="7B6945BB"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Number of Rural Digital Hubs operational</w:t>
            </w:r>
          </w:p>
        </w:tc>
        <w:tc>
          <w:tcPr>
            <w:tcW w:w="1910" w:type="dxa"/>
            <w:tcBorders>
              <w:top w:val="nil"/>
              <w:left w:val="nil"/>
              <w:bottom w:val="nil"/>
              <w:right w:val="nil"/>
            </w:tcBorders>
            <w:tcMar>
              <w:top w:w="100" w:type="dxa"/>
              <w:left w:w="100" w:type="dxa"/>
              <w:bottom w:w="100" w:type="dxa"/>
              <w:right w:w="100" w:type="dxa"/>
            </w:tcMar>
            <w:hideMark/>
          </w:tcPr>
          <w:p w14:paraId="10A51AD0"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500</w:t>
            </w:r>
          </w:p>
        </w:tc>
      </w:tr>
    </w:tbl>
    <w:p w14:paraId="6C92745B" w14:textId="77777777" w:rsidR="00447633" w:rsidRDefault="00447633" w:rsidP="001320FE">
      <w:pPr>
        <w:jc w:val="both"/>
        <w:rPr>
          <w:rFonts w:ascii="Source Sans Pro" w:hAnsi="Source Sans Pro"/>
          <w:b/>
          <w:sz w:val="24"/>
          <w:szCs w:val="24"/>
          <w:lang w:val="en"/>
        </w:rPr>
      </w:pPr>
    </w:p>
    <w:p w14:paraId="571FD2FF" w14:textId="46880E1E" w:rsidR="001320FE" w:rsidRPr="00447633"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B. Reporting and Accountability:</w:t>
      </w:r>
      <w:r w:rsidRPr="001320FE">
        <w:rPr>
          <w:rFonts w:ascii="Source Sans Pro" w:hAnsi="Source Sans Pro"/>
          <w:sz w:val="24"/>
          <w:szCs w:val="24"/>
          <w:lang w:val="en"/>
        </w:rPr>
        <w:t xml:space="preserve"> The QA Board will compile this data into an annual </w:t>
      </w:r>
      <w:r w:rsidRPr="001320FE">
        <w:rPr>
          <w:rFonts w:ascii="Source Sans Pro" w:hAnsi="Source Sans Pro"/>
          <w:b/>
          <w:sz w:val="24"/>
          <w:szCs w:val="24"/>
          <w:lang w:val="en"/>
        </w:rPr>
        <w:t>"</w:t>
      </w:r>
      <w:proofErr w:type="spellStart"/>
      <w:r w:rsidRPr="001320FE">
        <w:rPr>
          <w:rFonts w:ascii="Source Sans Pro" w:hAnsi="Source Sans Pro"/>
          <w:b/>
          <w:sz w:val="24"/>
          <w:szCs w:val="24"/>
          <w:lang w:val="en"/>
        </w:rPr>
        <w:t>PreVEnT</w:t>
      </w:r>
      <w:proofErr w:type="spellEnd"/>
      <w:r w:rsidRPr="001320FE">
        <w:rPr>
          <w:rFonts w:ascii="Source Sans Pro" w:hAnsi="Source Sans Pro"/>
          <w:b/>
          <w:sz w:val="24"/>
          <w:szCs w:val="24"/>
          <w:lang w:val="en"/>
        </w:rPr>
        <w:t>-Eco Impact Report"</w:t>
      </w:r>
      <w:r w:rsidRPr="001320FE">
        <w:rPr>
          <w:rFonts w:ascii="Source Sans Pro" w:hAnsi="Source Sans Pro"/>
          <w:sz w:val="24"/>
          <w:szCs w:val="24"/>
          <w:lang w:val="en"/>
        </w:rPr>
        <w:t xml:space="preserve"> delivered to the European Parliament and Commission. This report will form the basis for policy adjustments and the "go/no-go" decision for a potential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-Eco 2.0" post-2034.</w:t>
      </w:r>
    </w:p>
    <w:p w14:paraId="13748FD8" w14:textId="77777777" w:rsidR="001320FE" w:rsidRPr="001320FE" w:rsidRDefault="001320FE" w:rsidP="001320FE">
      <w:pPr>
        <w:jc w:val="both"/>
        <w:rPr>
          <w:lang w:val="en"/>
        </w:rPr>
      </w:pPr>
    </w:p>
    <w:p w14:paraId="7AEE6137" w14:textId="77777777" w:rsidR="001320FE" w:rsidRPr="001320FE" w:rsidRDefault="001320FE" w:rsidP="001320FE">
      <w:pPr>
        <w:pStyle w:val="Heading1"/>
        <w:rPr>
          <w:lang w:val="en"/>
        </w:rPr>
      </w:pPr>
      <w:bookmarkStart w:id="23" w:name="_15fome7pzeab"/>
      <w:bookmarkStart w:id="24" w:name="_Toc212823916"/>
      <w:bookmarkEnd w:id="23"/>
      <w:r w:rsidRPr="001320FE">
        <w:rPr>
          <w:lang w:val="en"/>
        </w:rPr>
        <w:t>6. Governance and Implementation</w:t>
      </w:r>
      <w:bookmarkEnd w:id="24"/>
    </w:p>
    <w:p w14:paraId="43CE8064" w14:textId="77777777" w:rsidR="00447633" w:rsidRDefault="00447633" w:rsidP="001320FE">
      <w:pPr>
        <w:jc w:val="both"/>
        <w:rPr>
          <w:rFonts w:ascii="Source Sans Pro" w:hAnsi="Source Sans Pro"/>
          <w:b/>
          <w:sz w:val="24"/>
          <w:szCs w:val="24"/>
          <w:lang w:val="en"/>
        </w:rPr>
      </w:pPr>
      <w:bookmarkStart w:id="25" w:name="_hdzo6vnl9lq"/>
      <w:bookmarkEnd w:id="25"/>
    </w:p>
    <w:p w14:paraId="2614805B" w14:textId="253A2C9E"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6.1. Governance Structure</w:t>
      </w:r>
    </w:p>
    <w:p w14:paraId="7B8CE2D2"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lastRenderedPageBreak/>
        <w:t>A lean, effective governance structure is proposed, managed by a central board and implemented by existing national bodies.</w:t>
      </w:r>
    </w:p>
    <w:p w14:paraId="66E6823B" w14:textId="77777777" w:rsidR="001320FE" w:rsidRPr="001320FE" w:rsidRDefault="001320FE">
      <w:pPr>
        <w:numPr>
          <w:ilvl w:val="0"/>
          <w:numId w:val="11"/>
        </w:numPr>
        <w:jc w:val="both"/>
        <w:rPr>
          <w:rFonts w:ascii="Source Sans Pro" w:hAnsi="Source Sans Pro"/>
          <w:sz w:val="24"/>
          <w:szCs w:val="24"/>
          <w:lang w:val="en"/>
        </w:rPr>
      </w:pPr>
      <w:proofErr w:type="spellStart"/>
      <w:r w:rsidRPr="001320FE">
        <w:rPr>
          <w:rFonts w:ascii="Source Sans Pro" w:hAnsi="Source Sans Pro"/>
          <w:b/>
          <w:sz w:val="24"/>
          <w:szCs w:val="24"/>
          <w:lang w:val="en"/>
        </w:rPr>
        <w:t>PreVEnT</w:t>
      </w:r>
      <w:proofErr w:type="spellEnd"/>
      <w:r w:rsidRPr="001320FE">
        <w:rPr>
          <w:rFonts w:ascii="Source Sans Pro" w:hAnsi="Source Sans Pro"/>
          <w:b/>
          <w:sz w:val="24"/>
          <w:szCs w:val="24"/>
          <w:lang w:val="en"/>
        </w:rPr>
        <w:t>-Eco QA Board (The "Head"):</w:t>
      </w:r>
    </w:p>
    <w:p w14:paraId="341EF9A9" w14:textId="2F967EB9" w:rsidR="001320FE" w:rsidRPr="001320FE" w:rsidRDefault="001320FE">
      <w:pPr>
        <w:numPr>
          <w:ilvl w:val="1"/>
          <w:numId w:val="11"/>
        </w:numPr>
        <w:jc w:val="both"/>
        <w:rPr>
          <w:rFonts w:ascii="Source Sans Pro" w:hAnsi="Source Sans Pro"/>
          <w:sz w:val="24"/>
          <w:szCs w:val="24"/>
          <w:lang w:val="en"/>
        </w:rPr>
      </w:pPr>
      <w:r w:rsidRPr="001320FE">
        <w:rPr>
          <w:rFonts w:ascii="Source Sans Pro" w:hAnsi="Source Sans Pro"/>
          <w:b/>
          <w:sz w:val="24"/>
          <w:szCs w:val="24"/>
          <w:lang w:val="en"/>
        </w:rPr>
        <w:t>Mandate:</w:t>
      </w:r>
      <w:r w:rsidRPr="001320FE">
        <w:rPr>
          <w:rFonts w:ascii="Source Sans Pro" w:hAnsi="Source Sans Pro"/>
          <w:sz w:val="24"/>
          <w:szCs w:val="24"/>
          <w:lang w:val="en"/>
        </w:rPr>
        <w:t xml:space="preserve"> A new, independent body co-chaired by </w:t>
      </w:r>
      <w:r w:rsidR="004C2C77" w:rsidRPr="004C2C77">
        <w:rPr>
          <w:rFonts w:ascii="Source Sans Pro" w:hAnsi="Source Sans Pro"/>
          <w:sz w:val="24"/>
          <w:szCs w:val="24"/>
          <w:lang w:val="en"/>
        </w:rPr>
        <w:t>IIS</w:t>
      </w:r>
      <w:r w:rsidRPr="001320FE">
        <w:rPr>
          <w:rFonts w:ascii="Source Sans Pro" w:hAnsi="Source Sans Pro"/>
          <w:sz w:val="24"/>
          <w:szCs w:val="24"/>
          <w:lang w:val="en"/>
        </w:rPr>
        <w:t xml:space="preserve"> and </w:t>
      </w:r>
      <w:r w:rsidR="004C2C77" w:rsidRPr="004C2C77">
        <w:rPr>
          <w:rFonts w:ascii="Source Sans Pro" w:hAnsi="Source Sans Pro"/>
          <w:sz w:val="24"/>
          <w:szCs w:val="24"/>
          <w:lang w:val="en"/>
        </w:rPr>
        <w:t>IIW</w:t>
      </w:r>
      <w:r w:rsidRPr="001320FE">
        <w:rPr>
          <w:rFonts w:ascii="Source Sans Pro" w:hAnsi="Source Sans Pro"/>
          <w:sz w:val="24"/>
          <w:szCs w:val="24"/>
          <w:lang w:val="en"/>
        </w:rPr>
        <w:t>.</w:t>
      </w:r>
    </w:p>
    <w:p w14:paraId="235C9546" w14:textId="2DC1CDC0" w:rsidR="001320FE" w:rsidRPr="001320FE" w:rsidRDefault="001320FE">
      <w:pPr>
        <w:numPr>
          <w:ilvl w:val="1"/>
          <w:numId w:val="11"/>
        </w:numPr>
        <w:jc w:val="both"/>
        <w:rPr>
          <w:rFonts w:ascii="Source Sans Pro" w:hAnsi="Source Sans Pro"/>
          <w:sz w:val="24"/>
          <w:szCs w:val="24"/>
          <w:lang w:val="en"/>
        </w:rPr>
      </w:pPr>
      <w:r w:rsidRPr="001320FE">
        <w:rPr>
          <w:rFonts w:ascii="Source Sans Pro" w:hAnsi="Source Sans Pro"/>
          <w:b/>
          <w:sz w:val="24"/>
          <w:szCs w:val="24"/>
          <w:lang w:val="en"/>
        </w:rPr>
        <w:t>Composition (15 members):</w:t>
      </w:r>
      <w:r w:rsidRPr="001320FE">
        <w:rPr>
          <w:rFonts w:ascii="Source Sans Pro" w:hAnsi="Source Sans Pro"/>
          <w:sz w:val="24"/>
          <w:szCs w:val="24"/>
          <w:lang w:val="en"/>
        </w:rPr>
        <w:t xml:space="preserve"> 4 from Commission (EAC, GROW, EMPL, CLIMA), 4 from Industry (e.g., EIT Manufacturing, Siemens</w:t>
      </w:r>
      <w:r w:rsidR="004C2C77" w:rsidRPr="004C2C77">
        <w:rPr>
          <w:rFonts w:ascii="Source Sans Pro" w:hAnsi="Source Sans Pro"/>
          <w:sz w:val="24"/>
          <w:szCs w:val="24"/>
          <w:lang w:val="en"/>
        </w:rPr>
        <w:t>, SUDOTIM, INTELIFORM</w:t>
      </w:r>
      <w:r w:rsidRPr="001320FE">
        <w:rPr>
          <w:rFonts w:ascii="Source Sans Pro" w:hAnsi="Source Sans Pro"/>
          <w:sz w:val="24"/>
          <w:szCs w:val="24"/>
          <w:lang w:val="en"/>
        </w:rPr>
        <w:t xml:space="preserve">), 4 from Education (e.g., </w:t>
      </w:r>
      <w:r w:rsidR="004C2C77" w:rsidRPr="004C2C77">
        <w:rPr>
          <w:rFonts w:ascii="Source Sans Pro" w:hAnsi="Source Sans Pro"/>
          <w:sz w:val="24"/>
          <w:szCs w:val="24"/>
          <w:lang w:val="en"/>
        </w:rPr>
        <w:t xml:space="preserve">ISIM, </w:t>
      </w:r>
      <w:r w:rsidRPr="001320FE">
        <w:rPr>
          <w:rFonts w:ascii="Source Sans Pro" w:hAnsi="Source Sans Pro"/>
          <w:sz w:val="24"/>
          <w:szCs w:val="24"/>
          <w:lang w:val="en"/>
        </w:rPr>
        <w:t>EU-VET, EUA</w:t>
      </w:r>
      <w:r w:rsidR="004C2C77" w:rsidRPr="004C2C77">
        <w:rPr>
          <w:rFonts w:ascii="Source Sans Pro" w:hAnsi="Source Sans Pro"/>
          <w:sz w:val="24"/>
          <w:szCs w:val="24"/>
          <w:lang w:val="en"/>
        </w:rPr>
        <w:t>, LOLA</w:t>
      </w:r>
      <w:r w:rsidRPr="001320FE">
        <w:rPr>
          <w:rFonts w:ascii="Source Sans Pro" w:hAnsi="Source Sans Pro"/>
          <w:sz w:val="24"/>
          <w:szCs w:val="24"/>
          <w:lang w:val="en"/>
        </w:rPr>
        <w:t>), 3 from Social Partners (e.g., ETUC).</w:t>
      </w:r>
    </w:p>
    <w:p w14:paraId="31D75FD8" w14:textId="77777777" w:rsidR="001320FE" w:rsidRPr="001320FE" w:rsidRDefault="001320FE">
      <w:pPr>
        <w:numPr>
          <w:ilvl w:val="1"/>
          <w:numId w:val="11"/>
        </w:numPr>
        <w:jc w:val="both"/>
        <w:rPr>
          <w:rFonts w:ascii="Source Sans Pro" w:hAnsi="Source Sans Pro"/>
          <w:sz w:val="24"/>
          <w:szCs w:val="24"/>
          <w:lang w:val="en"/>
        </w:rPr>
      </w:pPr>
      <w:r w:rsidRPr="001320FE">
        <w:rPr>
          <w:rFonts w:ascii="Source Sans Pro" w:hAnsi="Source Sans Pro"/>
          <w:b/>
          <w:sz w:val="24"/>
          <w:szCs w:val="24"/>
          <w:lang w:val="en"/>
        </w:rPr>
        <w:t>Responsibilities:</w:t>
      </w:r>
    </w:p>
    <w:p w14:paraId="2E84AAE6" w14:textId="77777777" w:rsidR="001320FE" w:rsidRPr="001320FE" w:rsidRDefault="001320FE">
      <w:pPr>
        <w:numPr>
          <w:ilvl w:val="2"/>
          <w:numId w:val="11"/>
        </w:numPr>
        <w:jc w:val="both"/>
        <w:rPr>
          <w:rFonts w:ascii="Source Sans Pro" w:hAnsi="Source Sans Pro"/>
          <w:sz w:val="24"/>
          <w:szCs w:val="24"/>
          <w:lang w:val="en"/>
        </w:rPr>
      </w:pPr>
      <w:r w:rsidRPr="001320FE">
        <w:rPr>
          <w:rFonts w:ascii="Source Sans Pro" w:hAnsi="Source Sans Pro"/>
          <w:sz w:val="24"/>
          <w:szCs w:val="24"/>
          <w:lang w:val="en"/>
        </w:rPr>
        <w:t xml:space="preserve">Accredit all VET/HEI providers to issue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micro-credentials.</w:t>
      </w:r>
    </w:p>
    <w:p w14:paraId="329D13B2" w14:textId="77777777" w:rsidR="001320FE" w:rsidRPr="001320FE" w:rsidRDefault="001320FE">
      <w:pPr>
        <w:numPr>
          <w:ilvl w:val="2"/>
          <w:numId w:val="11"/>
        </w:numPr>
        <w:jc w:val="both"/>
        <w:rPr>
          <w:rFonts w:ascii="Source Sans Pro" w:hAnsi="Source Sans Pro"/>
          <w:sz w:val="24"/>
          <w:szCs w:val="24"/>
          <w:lang w:val="en"/>
        </w:rPr>
      </w:pPr>
      <w:r w:rsidRPr="001320FE">
        <w:rPr>
          <w:rFonts w:ascii="Source Sans Pro" w:hAnsi="Source Sans Pro"/>
          <w:sz w:val="24"/>
          <w:szCs w:val="24"/>
          <w:lang w:val="en"/>
        </w:rPr>
        <w:t>Audit Teaching Factories for safety and quality.</w:t>
      </w:r>
    </w:p>
    <w:p w14:paraId="4F095AD8" w14:textId="77777777" w:rsidR="001320FE" w:rsidRPr="001320FE" w:rsidRDefault="001320FE">
      <w:pPr>
        <w:numPr>
          <w:ilvl w:val="2"/>
          <w:numId w:val="11"/>
        </w:numPr>
        <w:jc w:val="both"/>
        <w:rPr>
          <w:rFonts w:ascii="Source Sans Pro" w:hAnsi="Source Sans Pro"/>
          <w:sz w:val="24"/>
          <w:szCs w:val="24"/>
          <w:lang w:val="en"/>
        </w:rPr>
      </w:pPr>
      <w:r w:rsidRPr="001320FE">
        <w:rPr>
          <w:rFonts w:ascii="Source Sans Pro" w:hAnsi="Source Sans Pro"/>
          <w:sz w:val="24"/>
          <w:szCs w:val="24"/>
          <w:lang w:val="en"/>
        </w:rPr>
        <w:t>Enforce the 30% inclusion quota and manage funding bonuses/penalties.</w:t>
      </w:r>
    </w:p>
    <w:p w14:paraId="34EEFFBD" w14:textId="77777777" w:rsidR="001320FE" w:rsidRPr="001320FE" w:rsidRDefault="001320FE">
      <w:pPr>
        <w:numPr>
          <w:ilvl w:val="2"/>
          <w:numId w:val="11"/>
        </w:numPr>
        <w:jc w:val="both"/>
        <w:rPr>
          <w:rFonts w:ascii="Source Sans Pro" w:hAnsi="Source Sans Pro"/>
          <w:sz w:val="24"/>
          <w:szCs w:val="24"/>
          <w:lang w:val="en"/>
        </w:rPr>
      </w:pPr>
      <w:r w:rsidRPr="001320FE">
        <w:rPr>
          <w:rFonts w:ascii="Source Sans Pro" w:hAnsi="Source Sans Pro"/>
          <w:sz w:val="24"/>
          <w:szCs w:val="24"/>
          <w:lang w:val="en"/>
        </w:rPr>
        <w:t>Maintain the Digital Hub and LCA tool.</w:t>
      </w:r>
    </w:p>
    <w:p w14:paraId="4FD5C562" w14:textId="77777777" w:rsidR="001320FE" w:rsidRPr="001320FE" w:rsidRDefault="001320FE">
      <w:pPr>
        <w:numPr>
          <w:ilvl w:val="2"/>
          <w:numId w:val="11"/>
        </w:numPr>
        <w:jc w:val="both"/>
        <w:rPr>
          <w:rFonts w:ascii="Source Sans Pro" w:hAnsi="Source Sans Pro"/>
          <w:sz w:val="24"/>
          <w:szCs w:val="24"/>
          <w:lang w:val="en"/>
        </w:rPr>
      </w:pPr>
      <w:r w:rsidRPr="001320FE">
        <w:rPr>
          <w:rFonts w:ascii="Source Sans Pro" w:hAnsi="Source Sans Pro"/>
          <w:sz w:val="24"/>
          <w:szCs w:val="24"/>
          <w:lang w:val="en"/>
        </w:rPr>
        <w:t>Commission Horizon Europe R&amp;D and integrate findings into new CUs.</w:t>
      </w:r>
    </w:p>
    <w:p w14:paraId="570224A1" w14:textId="77777777" w:rsidR="001320FE" w:rsidRPr="001320FE" w:rsidRDefault="001320FE">
      <w:pPr>
        <w:numPr>
          <w:ilvl w:val="0"/>
          <w:numId w:val="11"/>
        </w:numPr>
        <w:jc w:val="both"/>
        <w:rPr>
          <w:rFonts w:ascii="Source Sans Pro" w:hAnsi="Source Sans Pro"/>
          <w:sz w:val="24"/>
          <w:szCs w:val="24"/>
          <w:lang w:val="en"/>
        </w:rPr>
      </w:pPr>
      <w:r w:rsidRPr="001320FE">
        <w:rPr>
          <w:rFonts w:ascii="Source Sans Pro" w:hAnsi="Source Sans Pro"/>
          <w:b/>
          <w:sz w:val="24"/>
          <w:szCs w:val="24"/>
          <w:lang w:val="en"/>
        </w:rPr>
        <w:t>National Agencies (The "Arms"):</w:t>
      </w:r>
    </w:p>
    <w:p w14:paraId="08442123" w14:textId="77777777" w:rsidR="001320FE" w:rsidRPr="001320FE" w:rsidRDefault="001320FE">
      <w:pPr>
        <w:numPr>
          <w:ilvl w:val="1"/>
          <w:numId w:val="11"/>
        </w:numPr>
        <w:jc w:val="both"/>
        <w:rPr>
          <w:rFonts w:ascii="Source Sans Pro" w:hAnsi="Source Sans Pro"/>
          <w:sz w:val="24"/>
          <w:szCs w:val="24"/>
          <w:lang w:val="en"/>
        </w:rPr>
      </w:pPr>
      <w:r w:rsidRPr="001320FE">
        <w:rPr>
          <w:rFonts w:ascii="Source Sans Pro" w:hAnsi="Source Sans Pro"/>
          <w:b/>
          <w:sz w:val="24"/>
          <w:szCs w:val="24"/>
          <w:lang w:val="en"/>
        </w:rPr>
        <w:t>Mandate:</w:t>
      </w:r>
      <w:r w:rsidRPr="001320FE">
        <w:rPr>
          <w:rFonts w:ascii="Source Sans Pro" w:hAnsi="Source Sans Pro"/>
          <w:sz w:val="24"/>
          <w:szCs w:val="24"/>
          <w:lang w:val="en"/>
        </w:rPr>
        <w:t xml:space="preserve"> Existing national agencies that already manage ESF+ and Erasmus+.</w:t>
      </w:r>
    </w:p>
    <w:p w14:paraId="38B7FDBA" w14:textId="77777777" w:rsidR="001320FE" w:rsidRPr="001320FE" w:rsidRDefault="001320FE">
      <w:pPr>
        <w:numPr>
          <w:ilvl w:val="1"/>
          <w:numId w:val="11"/>
        </w:numPr>
        <w:jc w:val="both"/>
        <w:rPr>
          <w:rFonts w:ascii="Source Sans Pro" w:hAnsi="Source Sans Pro"/>
          <w:sz w:val="24"/>
          <w:szCs w:val="24"/>
          <w:lang w:val="en"/>
        </w:rPr>
      </w:pPr>
      <w:r w:rsidRPr="001320FE">
        <w:rPr>
          <w:rFonts w:ascii="Source Sans Pro" w:hAnsi="Source Sans Pro"/>
          <w:b/>
          <w:sz w:val="24"/>
          <w:szCs w:val="24"/>
          <w:lang w:val="en"/>
        </w:rPr>
        <w:t>Responsibilities:</w:t>
      </w:r>
    </w:p>
    <w:p w14:paraId="058DA363" w14:textId="77777777" w:rsidR="001320FE" w:rsidRPr="001320FE" w:rsidRDefault="001320FE">
      <w:pPr>
        <w:numPr>
          <w:ilvl w:val="2"/>
          <w:numId w:val="11"/>
        </w:numPr>
        <w:jc w:val="both"/>
        <w:rPr>
          <w:rFonts w:ascii="Source Sans Pro" w:hAnsi="Source Sans Pro"/>
          <w:sz w:val="24"/>
          <w:szCs w:val="24"/>
          <w:lang w:val="en"/>
        </w:rPr>
      </w:pPr>
      <w:r w:rsidRPr="001320FE">
        <w:rPr>
          <w:rFonts w:ascii="Source Sans Pro" w:hAnsi="Source Sans Pro"/>
          <w:sz w:val="24"/>
          <w:szCs w:val="24"/>
          <w:lang w:val="en"/>
        </w:rPr>
        <w:t>Manage the ESF+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-Eco Voucher" scheme for their country.</w:t>
      </w:r>
    </w:p>
    <w:p w14:paraId="25C1C623" w14:textId="77777777" w:rsidR="001320FE" w:rsidRPr="001320FE" w:rsidRDefault="001320FE">
      <w:pPr>
        <w:numPr>
          <w:ilvl w:val="2"/>
          <w:numId w:val="11"/>
        </w:numPr>
        <w:jc w:val="both"/>
        <w:rPr>
          <w:rFonts w:ascii="Source Sans Pro" w:hAnsi="Source Sans Pro"/>
          <w:sz w:val="24"/>
          <w:szCs w:val="24"/>
          <w:lang w:val="en"/>
        </w:rPr>
      </w:pPr>
      <w:r w:rsidRPr="001320FE">
        <w:rPr>
          <w:rFonts w:ascii="Source Sans Pro" w:hAnsi="Source Sans Pro"/>
          <w:sz w:val="24"/>
          <w:szCs w:val="24"/>
          <w:lang w:val="en"/>
        </w:rPr>
        <w:t>Promote the ecosystem to local SMEs and learners.</w:t>
      </w:r>
    </w:p>
    <w:p w14:paraId="15DAF6E6" w14:textId="77777777" w:rsidR="001320FE" w:rsidRPr="001320FE" w:rsidRDefault="001320FE">
      <w:pPr>
        <w:numPr>
          <w:ilvl w:val="2"/>
          <w:numId w:val="11"/>
        </w:numPr>
        <w:jc w:val="both"/>
        <w:rPr>
          <w:rFonts w:ascii="Source Sans Pro" w:hAnsi="Source Sans Pro"/>
          <w:sz w:val="24"/>
          <w:szCs w:val="24"/>
          <w:lang w:val="en"/>
        </w:rPr>
      </w:pPr>
      <w:r w:rsidRPr="001320FE">
        <w:rPr>
          <w:rFonts w:ascii="Source Sans Pro" w:hAnsi="Source Sans Pro"/>
          <w:sz w:val="24"/>
          <w:szCs w:val="24"/>
          <w:lang w:val="en"/>
        </w:rPr>
        <w:t>Collect national data for the KPI Dashboard.</w:t>
      </w:r>
    </w:p>
    <w:p w14:paraId="46ECE8EC" w14:textId="77777777" w:rsidR="00447633" w:rsidRDefault="00447633" w:rsidP="001320FE">
      <w:pPr>
        <w:jc w:val="both"/>
        <w:rPr>
          <w:rFonts w:ascii="Source Sans Pro" w:hAnsi="Source Sans Pro"/>
          <w:b/>
          <w:sz w:val="24"/>
          <w:szCs w:val="24"/>
          <w:lang w:val="en"/>
        </w:rPr>
      </w:pPr>
      <w:bookmarkStart w:id="26" w:name="_w6e3nemqgphv"/>
      <w:bookmarkEnd w:id="26"/>
    </w:p>
    <w:p w14:paraId="0C3E824A" w14:textId="642051BF"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6.2. Detailed Implementation Roadmap (2026-2035)</w:t>
      </w:r>
    </w:p>
    <w:tbl>
      <w:tblPr>
        <w:tblW w:w="9030" w:type="dxa"/>
        <w:tblBorders>
          <w:insideH w:val="nil"/>
          <w:insideV w:val="nil"/>
        </w:tblBorders>
        <w:tblLayout w:type="fixed"/>
        <w:tblLook w:val="0600" w:firstRow="0" w:lastRow="0" w:firstColumn="0" w:lastColumn="0" w:noHBand="1" w:noVBand="1"/>
      </w:tblPr>
      <w:tblGrid>
        <w:gridCol w:w="1103"/>
        <w:gridCol w:w="2085"/>
        <w:gridCol w:w="5842"/>
      </w:tblGrid>
      <w:tr w:rsidR="001320FE" w:rsidRPr="001320FE" w14:paraId="58F8AF05" w14:textId="77777777">
        <w:trPr>
          <w:trHeight w:val="530"/>
        </w:trPr>
        <w:tc>
          <w:tcPr>
            <w:tcW w:w="1102" w:type="dxa"/>
            <w:tcBorders>
              <w:top w:val="nil"/>
              <w:left w:val="nil"/>
              <w:bottom w:val="nil"/>
              <w:right w:val="nil"/>
            </w:tcBorders>
            <w:tcMar>
              <w:top w:w="100" w:type="dxa"/>
              <w:left w:w="100" w:type="dxa"/>
              <w:bottom w:w="100" w:type="dxa"/>
              <w:right w:w="100" w:type="dxa"/>
            </w:tcMar>
            <w:hideMark/>
          </w:tcPr>
          <w:p w14:paraId="55191537"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Year(s)</w:t>
            </w:r>
          </w:p>
        </w:tc>
        <w:tc>
          <w:tcPr>
            <w:tcW w:w="2084" w:type="dxa"/>
            <w:tcBorders>
              <w:top w:val="nil"/>
              <w:left w:val="nil"/>
              <w:bottom w:val="nil"/>
              <w:right w:val="nil"/>
            </w:tcBorders>
            <w:tcMar>
              <w:top w:w="100" w:type="dxa"/>
              <w:left w:w="100" w:type="dxa"/>
              <w:bottom w:w="100" w:type="dxa"/>
              <w:right w:w="100" w:type="dxa"/>
            </w:tcMar>
            <w:hideMark/>
          </w:tcPr>
          <w:p w14:paraId="3E4FD1FF"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Phase</w:t>
            </w:r>
          </w:p>
        </w:tc>
        <w:tc>
          <w:tcPr>
            <w:tcW w:w="5838" w:type="dxa"/>
            <w:tcBorders>
              <w:top w:val="nil"/>
              <w:left w:val="nil"/>
              <w:bottom w:val="nil"/>
              <w:right w:val="nil"/>
            </w:tcBorders>
            <w:tcMar>
              <w:top w:w="100" w:type="dxa"/>
              <w:left w:w="100" w:type="dxa"/>
              <w:bottom w:w="100" w:type="dxa"/>
              <w:right w:w="100" w:type="dxa"/>
            </w:tcMar>
            <w:hideMark/>
          </w:tcPr>
          <w:p w14:paraId="1737F683"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Key Milestones</w:t>
            </w:r>
          </w:p>
        </w:tc>
      </w:tr>
      <w:tr w:rsidR="001320FE" w:rsidRPr="001320FE" w14:paraId="58690319" w14:textId="77777777">
        <w:trPr>
          <w:trHeight w:val="2150"/>
        </w:trPr>
        <w:tc>
          <w:tcPr>
            <w:tcW w:w="1102" w:type="dxa"/>
            <w:tcBorders>
              <w:top w:val="nil"/>
              <w:left w:val="nil"/>
              <w:bottom w:val="nil"/>
              <w:right w:val="nil"/>
            </w:tcBorders>
            <w:tcMar>
              <w:top w:w="100" w:type="dxa"/>
              <w:left w:w="100" w:type="dxa"/>
              <w:bottom w:w="100" w:type="dxa"/>
              <w:right w:w="100" w:type="dxa"/>
            </w:tcMar>
            <w:hideMark/>
          </w:tcPr>
          <w:p w14:paraId="575F2BD5"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2026</w:t>
            </w:r>
          </w:p>
        </w:tc>
        <w:tc>
          <w:tcPr>
            <w:tcW w:w="2084" w:type="dxa"/>
            <w:tcBorders>
              <w:top w:val="nil"/>
              <w:left w:val="nil"/>
              <w:bottom w:val="nil"/>
              <w:right w:val="nil"/>
            </w:tcBorders>
            <w:tcMar>
              <w:top w:w="100" w:type="dxa"/>
              <w:left w:w="100" w:type="dxa"/>
              <w:bottom w:w="100" w:type="dxa"/>
              <w:right w:w="100" w:type="dxa"/>
            </w:tcMar>
            <w:hideMark/>
          </w:tcPr>
          <w:p w14:paraId="79215C1F"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Phase 1: Foundation</w:t>
            </w:r>
          </w:p>
        </w:tc>
        <w:tc>
          <w:tcPr>
            <w:tcW w:w="5838" w:type="dxa"/>
            <w:tcBorders>
              <w:top w:val="nil"/>
              <w:left w:val="nil"/>
              <w:bottom w:val="nil"/>
              <w:right w:val="nil"/>
            </w:tcBorders>
            <w:tcMar>
              <w:top w:w="100" w:type="dxa"/>
              <w:left w:w="100" w:type="dxa"/>
              <w:bottom w:w="100" w:type="dxa"/>
              <w:right w:w="100" w:type="dxa"/>
            </w:tcMar>
            <w:hideMark/>
          </w:tcPr>
          <w:p w14:paraId="0FD817FC"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Formal adoption of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CUs into ESCO &amp; EQF.</w:t>
            </w:r>
          </w:p>
          <w:p w14:paraId="701CE8CC"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Establishment of the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-Eco QA Board.</w:t>
            </w:r>
          </w:p>
          <w:p w14:paraId="201BDA8A"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First Erasmus+ calls for 10 pilot Teaching Factories.</w:t>
            </w:r>
          </w:p>
          <w:p w14:paraId="679BA07E"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Digital Europe contract awarded for Digital Hub.</w:t>
            </w:r>
          </w:p>
        </w:tc>
      </w:tr>
      <w:tr w:rsidR="001320FE" w:rsidRPr="001320FE" w14:paraId="14C89BFB" w14:textId="77777777">
        <w:trPr>
          <w:trHeight w:val="1910"/>
        </w:trPr>
        <w:tc>
          <w:tcPr>
            <w:tcW w:w="1102" w:type="dxa"/>
            <w:tcBorders>
              <w:top w:val="nil"/>
              <w:left w:val="nil"/>
              <w:bottom w:val="nil"/>
              <w:right w:val="nil"/>
            </w:tcBorders>
            <w:tcMar>
              <w:top w:w="100" w:type="dxa"/>
              <w:left w:w="100" w:type="dxa"/>
              <w:bottom w:w="100" w:type="dxa"/>
              <w:right w:w="100" w:type="dxa"/>
            </w:tcMar>
            <w:hideMark/>
          </w:tcPr>
          <w:p w14:paraId="4FA8C38D"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2027</w:t>
            </w:r>
          </w:p>
        </w:tc>
        <w:tc>
          <w:tcPr>
            <w:tcW w:w="2084" w:type="dxa"/>
            <w:tcBorders>
              <w:top w:val="nil"/>
              <w:left w:val="nil"/>
              <w:bottom w:val="nil"/>
              <w:right w:val="nil"/>
            </w:tcBorders>
            <w:tcMar>
              <w:top w:w="100" w:type="dxa"/>
              <w:left w:w="100" w:type="dxa"/>
              <w:bottom w:w="100" w:type="dxa"/>
              <w:right w:w="100" w:type="dxa"/>
            </w:tcMar>
            <w:hideMark/>
          </w:tcPr>
          <w:p w14:paraId="1862E087"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Phase 2: Digital Launch</w:t>
            </w:r>
          </w:p>
        </w:tc>
        <w:tc>
          <w:tcPr>
            <w:tcW w:w="5838" w:type="dxa"/>
            <w:tcBorders>
              <w:top w:val="nil"/>
              <w:left w:val="nil"/>
              <w:bottom w:val="nil"/>
              <w:right w:val="nil"/>
            </w:tcBorders>
            <w:tcMar>
              <w:top w:w="100" w:type="dxa"/>
              <w:left w:w="100" w:type="dxa"/>
              <w:bottom w:w="100" w:type="dxa"/>
              <w:right w:w="100" w:type="dxa"/>
            </w:tcMar>
            <w:hideMark/>
          </w:tcPr>
          <w:p w14:paraId="244C4887"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Digital Hub v1.0 and OER Repository go live.</w:t>
            </w:r>
          </w:p>
          <w:p w14:paraId="1D872056"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LCA tool made mandatory for all Erasmus+ industrial projects to drive adoption.</w:t>
            </w:r>
          </w:p>
          <w:p w14:paraId="63F04D0B"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First 10 TFs become operational.</w:t>
            </w:r>
          </w:p>
        </w:tc>
      </w:tr>
      <w:tr w:rsidR="001320FE" w:rsidRPr="001320FE" w14:paraId="2DA87C82" w14:textId="77777777">
        <w:trPr>
          <w:trHeight w:val="2450"/>
        </w:trPr>
        <w:tc>
          <w:tcPr>
            <w:tcW w:w="1102" w:type="dxa"/>
            <w:tcBorders>
              <w:top w:val="nil"/>
              <w:left w:val="nil"/>
              <w:bottom w:val="nil"/>
              <w:right w:val="nil"/>
            </w:tcBorders>
            <w:tcMar>
              <w:top w:w="100" w:type="dxa"/>
              <w:left w:w="100" w:type="dxa"/>
              <w:bottom w:w="100" w:type="dxa"/>
              <w:right w:w="100" w:type="dxa"/>
            </w:tcMar>
            <w:hideMark/>
          </w:tcPr>
          <w:p w14:paraId="6F149EC2"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lastRenderedPageBreak/>
              <w:t>2028</w:t>
            </w:r>
          </w:p>
        </w:tc>
        <w:tc>
          <w:tcPr>
            <w:tcW w:w="2084" w:type="dxa"/>
            <w:tcBorders>
              <w:top w:val="nil"/>
              <w:left w:val="nil"/>
              <w:bottom w:val="nil"/>
              <w:right w:val="nil"/>
            </w:tcBorders>
            <w:tcMar>
              <w:top w:w="100" w:type="dxa"/>
              <w:left w:w="100" w:type="dxa"/>
              <w:bottom w:w="100" w:type="dxa"/>
              <w:right w:w="100" w:type="dxa"/>
            </w:tcMar>
            <w:hideMark/>
          </w:tcPr>
          <w:p w14:paraId="051B699F"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Phase 3: Scaling</w:t>
            </w:r>
          </w:p>
        </w:tc>
        <w:tc>
          <w:tcPr>
            <w:tcW w:w="5838" w:type="dxa"/>
            <w:tcBorders>
              <w:top w:val="nil"/>
              <w:left w:val="nil"/>
              <w:bottom w:val="nil"/>
              <w:right w:val="nil"/>
            </w:tcBorders>
            <w:tcMar>
              <w:top w:w="100" w:type="dxa"/>
              <w:left w:w="100" w:type="dxa"/>
              <w:bottom w:w="100" w:type="dxa"/>
              <w:right w:w="100" w:type="dxa"/>
            </w:tcMar>
            <w:hideMark/>
          </w:tcPr>
          <w:p w14:paraId="07AFB708"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ESF+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-Eco Voucher" scheme goes live across all Member States.</w:t>
            </w:r>
          </w:p>
          <w:p w14:paraId="7B0D5F35"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First 100,000 micro-credentials issued.</w:t>
            </w:r>
          </w:p>
          <w:p w14:paraId="4B0A6206"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First 100 Rural Digital Hubs operational.</w:t>
            </w:r>
          </w:p>
          <w:p w14:paraId="685F5E10"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Horizon Europe calls for "CUs 5 &amp; 6" are launched.</w:t>
            </w:r>
          </w:p>
        </w:tc>
      </w:tr>
      <w:tr w:rsidR="001320FE" w:rsidRPr="001320FE" w14:paraId="699EFE8D" w14:textId="77777777">
        <w:trPr>
          <w:trHeight w:val="1910"/>
        </w:trPr>
        <w:tc>
          <w:tcPr>
            <w:tcW w:w="1102" w:type="dxa"/>
            <w:tcBorders>
              <w:top w:val="nil"/>
              <w:left w:val="nil"/>
              <w:bottom w:val="nil"/>
              <w:right w:val="nil"/>
            </w:tcBorders>
            <w:tcMar>
              <w:top w:w="100" w:type="dxa"/>
              <w:left w:w="100" w:type="dxa"/>
              <w:bottom w:w="100" w:type="dxa"/>
              <w:right w:w="100" w:type="dxa"/>
            </w:tcMar>
            <w:hideMark/>
          </w:tcPr>
          <w:p w14:paraId="33BD41E6"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2029-2031</w:t>
            </w:r>
          </w:p>
        </w:tc>
        <w:tc>
          <w:tcPr>
            <w:tcW w:w="2084" w:type="dxa"/>
            <w:tcBorders>
              <w:top w:val="nil"/>
              <w:left w:val="nil"/>
              <w:bottom w:val="nil"/>
              <w:right w:val="nil"/>
            </w:tcBorders>
            <w:tcMar>
              <w:top w:w="100" w:type="dxa"/>
              <w:left w:w="100" w:type="dxa"/>
              <w:bottom w:w="100" w:type="dxa"/>
              <w:right w:w="100" w:type="dxa"/>
            </w:tcMar>
            <w:hideMark/>
          </w:tcPr>
          <w:p w14:paraId="7E95D0A5"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Phase 4: Expansion</w:t>
            </w:r>
          </w:p>
        </w:tc>
        <w:tc>
          <w:tcPr>
            <w:tcW w:w="5838" w:type="dxa"/>
            <w:tcBorders>
              <w:top w:val="nil"/>
              <w:left w:val="nil"/>
              <w:bottom w:val="nil"/>
              <w:right w:val="nil"/>
            </w:tcBorders>
            <w:tcMar>
              <w:top w:w="100" w:type="dxa"/>
              <w:left w:w="100" w:type="dxa"/>
              <w:bottom w:w="100" w:type="dxa"/>
              <w:right w:w="100" w:type="dxa"/>
            </w:tcMar>
            <w:hideMark/>
          </w:tcPr>
          <w:p w14:paraId="54723DB4"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Scale-up to 75 Teaching Factories.</w:t>
            </w:r>
          </w:p>
          <w:p w14:paraId="3DB614A8"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Digital Hub user base crosses 500,000.</w:t>
            </w:r>
          </w:p>
          <w:p w14:paraId="0D434AF3"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First annual Impact Report published, with quota enforcement beginning.</w:t>
            </w:r>
          </w:p>
        </w:tc>
      </w:tr>
      <w:tr w:rsidR="001320FE" w:rsidRPr="001320FE" w14:paraId="261FCFA0" w14:textId="77777777">
        <w:trPr>
          <w:trHeight w:val="2210"/>
        </w:trPr>
        <w:tc>
          <w:tcPr>
            <w:tcW w:w="1102" w:type="dxa"/>
            <w:tcBorders>
              <w:top w:val="nil"/>
              <w:left w:val="nil"/>
              <w:bottom w:val="nil"/>
              <w:right w:val="nil"/>
            </w:tcBorders>
            <w:tcMar>
              <w:top w:w="100" w:type="dxa"/>
              <w:left w:w="100" w:type="dxa"/>
              <w:bottom w:w="100" w:type="dxa"/>
              <w:right w:w="100" w:type="dxa"/>
            </w:tcMar>
            <w:hideMark/>
          </w:tcPr>
          <w:p w14:paraId="139862DB"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2032-2034</w:t>
            </w:r>
          </w:p>
        </w:tc>
        <w:tc>
          <w:tcPr>
            <w:tcW w:w="2084" w:type="dxa"/>
            <w:tcBorders>
              <w:top w:val="nil"/>
              <w:left w:val="nil"/>
              <w:bottom w:val="nil"/>
              <w:right w:val="nil"/>
            </w:tcBorders>
            <w:tcMar>
              <w:top w:w="100" w:type="dxa"/>
              <w:left w:w="100" w:type="dxa"/>
              <w:bottom w:w="100" w:type="dxa"/>
              <w:right w:w="100" w:type="dxa"/>
            </w:tcMar>
            <w:hideMark/>
          </w:tcPr>
          <w:p w14:paraId="58153A28"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Phase 5: Maturity</w:t>
            </w:r>
          </w:p>
        </w:tc>
        <w:tc>
          <w:tcPr>
            <w:tcW w:w="5838" w:type="dxa"/>
            <w:tcBorders>
              <w:top w:val="nil"/>
              <w:left w:val="nil"/>
              <w:bottom w:val="nil"/>
              <w:right w:val="nil"/>
            </w:tcBorders>
            <w:tcMar>
              <w:top w:w="100" w:type="dxa"/>
              <w:left w:w="100" w:type="dxa"/>
              <w:bottom w:w="100" w:type="dxa"/>
              <w:right w:w="100" w:type="dxa"/>
            </w:tcMar>
            <w:hideMark/>
          </w:tcPr>
          <w:p w14:paraId="4164FF20"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Full network of 100 TFs and 500 Rural Hubs operational.</w:t>
            </w:r>
          </w:p>
          <w:p w14:paraId="5A9C4C5C"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CUs 5 &amp; 6 (from Horizon R&amp;D) are validated and rolled out.</w:t>
            </w:r>
          </w:p>
          <w:p w14:paraId="392A482E"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Mid-term review and formal proposal for post-2035 funding.</w:t>
            </w:r>
          </w:p>
        </w:tc>
      </w:tr>
      <w:tr w:rsidR="001320FE" w:rsidRPr="001320FE" w14:paraId="0CCDF82C" w14:textId="77777777">
        <w:trPr>
          <w:trHeight w:val="1370"/>
        </w:trPr>
        <w:tc>
          <w:tcPr>
            <w:tcW w:w="1102" w:type="dxa"/>
            <w:tcBorders>
              <w:top w:val="nil"/>
              <w:left w:val="nil"/>
              <w:bottom w:val="nil"/>
              <w:right w:val="nil"/>
            </w:tcBorders>
            <w:tcMar>
              <w:top w:w="100" w:type="dxa"/>
              <w:left w:w="100" w:type="dxa"/>
              <w:bottom w:w="100" w:type="dxa"/>
              <w:right w:w="100" w:type="dxa"/>
            </w:tcMar>
            <w:hideMark/>
          </w:tcPr>
          <w:p w14:paraId="2D6CE878"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2035</w:t>
            </w:r>
          </w:p>
        </w:tc>
        <w:tc>
          <w:tcPr>
            <w:tcW w:w="2084" w:type="dxa"/>
            <w:tcBorders>
              <w:top w:val="nil"/>
              <w:left w:val="nil"/>
              <w:bottom w:val="nil"/>
              <w:right w:val="nil"/>
            </w:tcBorders>
            <w:tcMar>
              <w:top w:w="100" w:type="dxa"/>
              <w:left w:w="100" w:type="dxa"/>
              <w:bottom w:w="100" w:type="dxa"/>
              <w:right w:w="100" w:type="dxa"/>
            </w:tcMar>
            <w:hideMark/>
          </w:tcPr>
          <w:p w14:paraId="461F180A"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Full Ecosystem</w:t>
            </w:r>
          </w:p>
        </w:tc>
        <w:tc>
          <w:tcPr>
            <w:tcW w:w="5838" w:type="dxa"/>
            <w:tcBorders>
              <w:top w:val="nil"/>
              <w:left w:val="nil"/>
              <w:bottom w:val="nil"/>
              <w:right w:val="nil"/>
            </w:tcBorders>
            <w:tcMar>
              <w:top w:w="100" w:type="dxa"/>
              <w:left w:w="100" w:type="dxa"/>
              <w:bottom w:w="100" w:type="dxa"/>
              <w:right w:w="100" w:type="dxa"/>
            </w:tcMar>
            <w:hideMark/>
          </w:tcPr>
          <w:p w14:paraId="31EA064F"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All targets met. 1M OER users. 300k credentials/year.</w:t>
            </w:r>
          </w:p>
          <w:p w14:paraId="7A00D3E5"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KPI targets for downtime reduction (-25%) and CO₂ savings (5Mt) are achieved.</w:t>
            </w:r>
          </w:p>
        </w:tc>
      </w:tr>
    </w:tbl>
    <w:p w14:paraId="500EB3D7" w14:textId="77777777" w:rsidR="00447633" w:rsidRDefault="00447633" w:rsidP="001320FE">
      <w:pPr>
        <w:jc w:val="both"/>
        <w:rPr>
          <w:rFonts w:ascii="Source Sans Pro" w:hAnsi="Source Sans Pro"/>
          <w:b/>
          <w:sz w:val="24"/>
          <w:szCs w:val="24"/>
          <w:lang w:val="en"/>
        </w:rPr>
      </w:pPr>
      <w:bookmarkStart w:id="27" w:name="_s83e5i64r5y7"/>
      <w:bookmarkEnd w:id="27"/>
    </w:p>
    <w:p w14:paraId="54B66CC0" w14:textId="192C358A"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6.3. Risk Matrix and Mitigation Strategies</w:t>
      </w:r>
    </w:p>
    <w:tbl>
      <w:tblPr>
        <w:tblW w:w="9030" w:type="dxa"/>
        <w:tblBorders>
          <w:insideH w:val="nil"/>
          <w:insideV w:val="nil"/>
        </w:tblBorders>
        <w:tblLayout w:type="fixed"/>
        <w:tblLook w:val="0600" w:firstRow="0" w:lastRow="0" w:firstColumn="0" w:lastColumn="0" w:noHBand="1" w:noVBand="1"/>
      </w:tblPr>
      <w:tblGrid>
        <w:gridCol w:w="709"/>
        <w:gridCol w:w="2320"/>
        <w:gridCol w:w="1383"/>
        <w:gridCol w:w="965"/>
        <w:gridCol w:w="3653"/>
      </w:tblGrid>
      <w:tr w:rsidR="001320FE" w:rsidRPr="001320FE" w14:paraId="66606C03" w14:textId="77777777" w:rsidTr="00447633">
        <w:trPr>
          <w:trHeight w:val="530"/>
        </w:trPr>
        <w:tc>
          <w:tcPr>
            <w:tcW w:w="709" w:type="dxa"/>
            <w:tcBorders>
              <w:top w:val="nil"/>
              <w:left w:val="nil"/>
              <w:bottom w:val="nil"/>
              <w:right w:val="nil"/>
            </w:tcBorders>
            <w:tcMar>
              <w:top w:w="100" w:type="dxa"/>
              <w:left w:w="100" w:type="dxa"/>
              <w:bottom w:w="100" w:type="dxa"/>
              <w:right w:w="100" w:type="dxa"/>
            </w:tcMar>
            <w:hideMark/>
          </w:tcPr>
          <w:p w14:paraId="7576E780"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ID</w:t>
            </w:r>
          </w:p>
        </w:tc>
        <w:tc>
          <w:tcPr>
            <w:tcW w:w="2320" w:type="dxa"/>
            <w:tcBorders>
              <w:top w:val="nil"/>
              <w:left w:val="nil"/>
              <w:bottom w:val="nil"/>
              <w:right w:val="nil"/>
            </w:tcBorders>
            <w:tcMar>
              <w:top w:w="100" w:type="dxa"/>
              <w:left w:w="100" w:type="dxa"/>
              <w:bottom w:w="100" w:type="dxa"/>
              <w:right w:w="100" w:type="dxa"/>
            </w:tcMar>
            <w:hideMark/>
          </w:tcPr>
          <w:p w14:paraId="6D9C0CF6"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Risk Description</w:t>
            </w:r>
          </w:p>
        </w:tc>
        <w:tc>
          <w:tcPr>
            <w:tcW w:w="1383" w:type="dxa"/>
            <w:tcBorders>
              <w:top w:val="nil"/>
              <w:left w:val="nil"/>
              <w:bottom w:val="nil"/>
              <w:right w:val="nil"/>
            </w:tcBorders>
            <w:tcMar>
              <w:top w:w="100" w:type="dxa"/>
              <w:left w:w="100" w:type="dxa"/>
              <w:bottom w:w="100" w:type="dxa"/>
              <w:right w:w="100" w:type="dxa"/>
            </w:tcMar>
            <w:hideMark/>
          </w:tcPr>
          <w:p w14:paraId="16AA3620"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Likelihood</w:t>
            </w:r>
          </w:p>
        </w:tc>
        <w:tc>
          <w:tcPr>
            <w:tcW w:w="965" w:type="dxa"/>
            <w:tcBorders>
              <w:top w:val="nil"/>
              <w:left w:val="nil"/>
              <w:bottom w:val="nil"/>
              <w:right w:val="nil"/>
            </w:tcBorders>
            <w:tcMar>
              <w:top w:w="100" w:type="dxa"/>
              <w:left w:w="100" w:type="dxa"/>
              <w:bottom w:w="100" w:type="dxa"/>
              <w:right w:w="100" w:type="dxa"/>
            </w:tcMar>
            <w:hideMark/>
          </w:tcPr>
          <w:p w14:paraId="1AEB2DBD"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Impact</w:t>
            </w:r>
          </w:p>
        </w:tc>
        <w:tc>
          <w:tcPr>
            <w:tcW w:w="3653" w:type="dxa"/>
            <w:tcBorders>
              <w:top w:val="nil"/>
              <w:left w:val="nil"/>
              <w:bottom w:val="nil"/>
              <w:right w:val="nil"/>
            </w:tcBorders>
            <w:tcMar>
              <w:top w:w="100" w:type="dxa"/>
              <w:left w:w="100" w:type="dxa"/>
              <w:bottom w:w="100" w:type="dxa"/>
              <w:right w:w="100" w:type="dxa"/>
            </w:tcMar>
            <w:hideMark/>
          </w:tcPr>
          <w:p w14:paraId="4B466368" w14:textId="77777777" w:rsidR="001320FE" w:rsidRPr="001320FE" w:rsidRDefault="001320FE" w:rsidP="001320FE">
            <w:pPr>
              <w:jc w:val="both"/>
              <w:rPr>
                <w:rFonts w:ascii="Source Sans Pro" w:hAnsi="Source Sans Pro"/>
                <w:b/>
                <w:sz w:val="24"/>
                <w:szCs w:val="24"/>
                <w:lang w:val="en"/>
              </w:rPr>
            </w:pPr>
            <w:r w:rsidRPr="001320FE">
              <w:rPr>
                <w:rFonts w:ascii="Source Sans Pro" w:hAnsi="Source Sans Pro"/>
                <w:b/>
                <w:sz w:val="24"/>
                <w:szCs w:val="24"/>
                <w:lang w:val="en"/>
              </w:rPr>
              <w:t>Mitigation Strategy</w:t>
            </w:r>
          </w:p>
        </w:tc>
      </w:tr>
      <w:tr w:rsidR="001320FE" w:rsidRPr="001320FE" w14:paraId="6FABF7BB" w14:textId="77777777" w:rsidTr="00447633">
        <w:trPr>
          <w:trHeight w:val="2510"/>
        </w:trPr>
        <w:tc>
          <w:tcPr>
            <w:tcW w:w="709" w:type="dxa"/>
            <w:tcBorders>
              <w:top w:val="nil"/>
              <w:left w:val="nil"/>
              <w:bottom w:val="nil"/>
              <w:right w:val="nil"/>
            </w:tcBorders>
            <w:tcMar>
              <w:top w:w="100" w:type="dxa"/>
              <w:left w:w="100" w:type="dxa"/>
              <w:bottom w:w="100" w:type="dxa"/>
              <w:right w:w="100" w:type="dxa"/>
            </w:tcMar>
            <w:hideMark/>
          </w:tcPr>
          <w:p w14:paraId="1C1CAA20"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R-01</w:t>
            </w:r>
          </w:p>
        </w:tc>
        <w:tc>
          <w:tcPr>
            <w:tcW w:w="2320" w:type="dxa"/>
            <w:tcBorders>
              <w:top w:val="nil"/>
              <w:left w:val="nil"/>
              <w:bottom w:val="nil"/>
              <w:right w:val="nil"/>
            </w:tcBorders>
            <w:tcMar>
              <w:top w:w="100" w:type="dxa"/>
              <w:left w:w="100" w:type="dxa"/>
              <w:bottom w:w="100" w:type="dxa"/>
              <w:right w:w="100" w:type="dxa"/>
            </w:tcMar>
            <w:hideMark/>
          </w:tcPr>
          <w:p w14:paraId="12B74AD8"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Low SME Adoption:</w:t>
            </w:r>
            <w:r w:rsidRPr="001320FE">
              <w:rPr>
                <w:rFonts w:ascii="Source Sans Pro" w:hAnsi="Source Sans Pro"/>
                <w:sz w:val="24"/>
                <w:szCs w:val="24"/>
                <w:lang w:val="en"/>
              </w:rPr>
              <w:t xml:space="preserve"> SMEs lack time, capital, or awareness.</w:t>
            </w:r>
          </w:p>
        </w:tc>
        <w:tc>
          <w:tcPr>
            <w:tcW w:w="1383" w:type="dxa"/>
            <w:tcBorders>
              <w:top w:val="nil"/>
              <w:left w:val="nil"/>
              <w:bottom w:val="nil"/>
              <w:right w:val="nil"/>
            </w:tcBorders>
            <w:tcMar>
              <w:top w:w="100" w:type="dxa"/>
              <w:left w:w="100" w:type="dxa"/>
              <w:bottom w:w="100" w:type="dxa"/>
              <w:right w:w="100" w:type="dxa"/>
            </w:tcMar>
            <w:hideMark/>
          </w:tcPr>
          <w:p w14:paraId="1CBF034F"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High</w:t>
            </w:r>
          </w:p>
        </w:tc>
        <w:tc>
          <w:tcPr>
            <w:tcW w:w="965" w:type="dxa"/>
            <w:tcBorders>
              <w:top w:val="nil"/>
              <w:left w:val="nil"/>
              <w:bottom w:val="nil"/>
              <w:right w:val="nil"/>
            </w:tcBorders>
            <w:tcMar>
              <w:top w:w="100" w:type="dxa"/>
              <w:left w:w="100" w:type="dxa"/>
              <w:bottom w:w="100" w:type="dxa"/>
              <w:right w:w="100" w:type="dxa"/>
            </w:tcMar>
            <w:hideMark/>
          </w:tcPr>
          <w:p w14:paraId="66EEA212"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High</w:t>
            </w:r>
          </w:p>
        </w:tc>
        <w:tc>
          <w:tcPr>
            <w:tcW w:w="3653" w:type="dxa"/>
            <w:tcBorders>
              <w:top w:val="nil"/>
              <w:left w:val="nil"/>
              <w:bottom w:val="nil"/>
              <w:right w:val="nil"/>
            </w:tcBorders>
            <w:tcMar>
              <w:top w:w="100" w:type="dxa"/>
              <w:left w:w="100" w:type="dxa"/>
              <w:bottom w:w="100" w:type="dxa"/>
              <w:right w:w="100" w:type="dxa"/>
            </w:tcMar>
            <w:hideMark/>
          </w:tcPr>
          <w:p w14:paraId="6BCC8B77"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r w:rsidRPr="001320FE">
              <w:rPr>
                <w:rFonts w:ascii="Source Sans Pro" w:hAnsi="Source Sans Pro"/>
                <w:b/>
                <w:sz w:val="24"/>
                <w:szCs w:val="24"/>
                <w:lang w:val="en"/>
              </w:rPr>
              <w:t>ESF+ Voucher:</w:t>
            </w:r>
            <w:r w:rsidRPr="001320FE">
              <w:rPr>
                <w:rFonts w:ascii="Source Sans Pro" w:hAnsi="Source Sans Pro"/>
                <w:sz w:val="24"/>
                <w:szCs w:val="24"/>
                <w:lang w:val="en"/>
              </w:rPr>
              <w:t xml:space="preserve"> Covers 100% of cost + stipend for "backfill."</w:t>
            </w:r>
          </w:p>
          <w:p w14:paraId="210F48E5"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r w:rsidRPr="001320FE">
              <w:rPr>
                <w:rFonts w:ascii="Source Sans Pro" w:hAnsi="Source Sans Pro"/>
                <w:b/>
                <w:sz w:val="24"/>
                <w:szCs w:val="24"/>
                <w:lang w:val="en"/>
              </w:rPr>
              <w:t>OER Hub / LCA Tool:</w:t>
            </w:r>
            <w:r w:rsidRPr="001320FE">
              <w:rPr>
                <w:rFonts w:ascii="Source Sans Pro" w:hAnsi="Source Sans Pro"/>
                <w:sz w:val="24"/>
                <w:szCs w:val="24"/>
                <w:lang w:val="en"/>
              </w:rPr>
              <w:t xml:space="preserve"> Provides free, asynchronous tools/modules.</w:t>
            </w:r>
          </w:p>
          <w:p w14:paraId="626C4BFC"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r w:rsidRPr="001320FE">
              <w:rPr>
                <w:rFonts w:ascii="Source Sans Pro" w:hAnsi="Source Sans Pro"/>
                <w:b/>
                <w:sz w:val="24"/>
                <w:szCs w:val="24"/>
                <w:lang w:val="en"/>
              </w:rPr>
              <w:t>National Agencies:</w:t>
            </w:r>
            <w:r w:rsidRPr="001320FE">
              <w:rPr>
                <w:rFonts w:ascii="Source Sans Pro" w:hAnsi="Source Sans Pro"/>
                <w:sz w:val="24"/>
                <w:szCs w:val="24"/>
                <w:lang w:val="en"/>
              </w:rPr>
              <w:t xml:space="preserve"> Mandated to run SME-specific awareness campaigns.</w:t>
            </w:r>
          </w:p>
        </w:tc>
      </w:tr>
      <w:tr w:rsidR="001320FE" w:rsidRPr="001320FE" w14:paraId="6CE43EC5" w14:textId="77777777" w:rsidTr="00447633">
        <w:trPr>
          <w:trHeight w:val="1707"/>
        </w:trPr>
        <w:tc>
          <w:tcPr>
            <w:tcW w:w="709" w:type="dxa"/>
            <w:tcBorders>
              <w:top w:val="nil"/>
              <w:left w:val="nil"/>
              <w:bottom w:val="nil"/>
              <w:right w:val="nil"/>
            </w:tcBorders>
            <w:tcMar>
              <w:top w:w="100" w:type="dxa"/>
              <w:left w:w="100" w:type="dxa"/>
              <w:bottom w:w="100" w:type="dxa"/>
              <w:right w:w="100" w:type="dxa"/>
            </w:tcMar>
            <w:hideMark/>
          </w:tcPr>
          <w:p w14:paraId="334BC46F"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lastRenderedPageBreak/>
              <w:t>R-02</w:t>
            </w:r>
          </w:p>
        </w:tc>
        <w:tc>
          <w:tcPr>
            <w:tcW w:w="2320" w:type="dxa"/>
            <w:tcBorders>
              <w:top w:val="nil"/>
              <w:left w:val="nil"/>
              <w:bottom w:val="nil"/>
              <w:right w:val="nil"/>
            </w:tcBorders>
            <w:tcMar>
              <w:top w:w="100" w:type="dxa"/>
              <w:left w:w="100" w:type="dxa"/>
              <w:bottom w:w="100" w:type="dxa"/>
              <w:right w:w="100" w:type="dxa"/>
            </w:tcMar>
            <w:hideMark/>
          </w:tcPr>
          <w:p w14:paraId="7CBBA7C5"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Shortage of Trainers:</w:t>
            </w:r>
            <w:r w:rsidRPr="001320FE">
              <w:rPr>
                <w:rFonts w:ascii="Source Sans Pro" w:hAnsi="Source Sans Pro"/>
                <w:sz w:val="24"/>
                <w:szCs w:val="24"/>
                <w:lang w:val="en"/>
              </w:rPr>
              <w:t xml:space="preserve"> VET/HEI teachers lack "</w:t>
            </w:r>
            <w:proofErr w:type="gramStart"/>
            <w:r w:rsidRPr="001320FE">
              <w:rPr>
                <w:rFonts w:ascii="Source Sans Pro" w:hAnsi="Source Sans Pro"/>
                <w:sz w:val="24"/>
                <w:szCs w:val="24"/>
                <w:lang w:val="en"/>
              </w:rPr>
              <w:t>deep-tech</w:t>
            </w:r>
            <w:proofErr w:type="gramEnd"/>
            <w:r w:rsidRPr="001320FE">
              <w:rPr>
                <w:rFonts w:ascii="Source Sans Pro" w:hAnsi="Source Sans Pro"/>
                <w:sz w:val="24"/>
                <w:szCs w:val="24"/>
                <w:lang w:val="en"/>
              </w:rPr>
              <w:t>" industry experience.</w:t>
            </w:r>
          </w:p>
        </w:tc>
        <w:tc>
          <w:tcPr>
            <w:tcW w:w="1383" w:type="dxa"/>
            <w:tcBorders>
              <w:top w:val="nil"/>
              <w:left w:val="nil"/>
              <w:bottom w:val="nil"/>
              <w:right w:val="nil"/>
            </w:tcBorders>
            <w:tcMar>
              <w:top w:w="100" w:type="dxa"/>
              <w:left w:w="100" w:type="dxa"/>
              <w:bottom w:w="100" w:type="dxa"/>
              <w:right w:w="100" w:type="dxa"/>
            </w:tcMar>
            <w:hideMark/>
          </w:tcPr>
          <w:p w14:paraId="46201B6A"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High</w:t>
            </w:r>
          </w:p>
        </w:tc>
        <w:tc>
          <w:tcPr>
            <w:tcW w:w="965" w:type="dxa"/>
            <w:tcBorders>
              <w:top w:val="nil"/>
              <w:left w:val="nil"/>
              <w:bottom w:val="nil"/>
              <w:right w:val="nil"/>
            </w:tcBorders>
            <w:tcMar>
              <w:top w:w="100" w:type="dxa"/>
              <w:left w:w="100" w:type="dxa"/>
              <w:bottom w:w="100" w:type="dxa"/>
              <w:right w:w="100" w:type="dxa"/>
            </w:tcMar>
            <w:hideMark/>
          </w:tcPr>
          <w:p w14:paraId="58C88C3F"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High</w:t>
            </w:r>
          </w:p>
        </w:tc>
        <w:tc>
          <w:tcPr>
            <w:tcW w:w="3653" w:type="dxa"/>
            <w:tcBorders>
              <w:top w:val="nil"/>
              <w:left w:val="nil"/>
              <w:bottom w:val="nil"/>
              <w:right w:val="nil"/>
            </w:tcBorders>
            <w:tcMar>
              <w:top w:w="100" w:type="dxa"/>
              <w:left w:w="100" w:type="dxa"/>
              <w:bottom w:w="100" w:type="dxa"/>
              <w:right w:w="100" w:type="dxa"/>
            </w:tcMar>
            <w:hideMark/>
          </w:tcPr>
          <w:p w14:paraId="20B92574"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r w:rsidRPr="001320FE">
              <w:rPr>
                <w:rFonts w:ascii="Source Sans Pro" w:hAnsi="Source Sans Pro"/>
                <w:b/>
                <w:sz w:val="24"/>
                <w:szCs w:val="24"/>
                <w:lang w:val="en"/>
              </w:rPr>
              <w:t>"Train-the-Trainer" Program:</w:t>
            </w:r>
            <w:r w:rsidRPr="001320FE">
              <w:rPr>
                <w:rFonts w:ascii="Source Sans Pro" w:hAnsi="Source Sans Pro"/>
                <w:sz w:val="24"/>
                <w:szCs w:val="24"/>
                <w:lang w:val="en"/>
              </w:rPr>
              <w:t xml:space="preserve"> Funded by Erasmus+ KA2.</w:t>
            </w:r>
          </w:p>
          <w:p w14:paraId="79DEA170"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r w:rsidRPr="001320FE">
              <w:rPr>
                <w:rFonts w:ascii="Source Sans Pro" w:hAnsi="Source Sans Pro"/>
                <w:b/>
                <w:sz w:val="24"/>
                <w:szCs w:val="24"/>
                <w:lang w:val="en"/>
              </w:rPr>
              <w:t>TF Model:</w:t>
            </w:r>
            <w:r w:rsidRPr="001320FE">
              <w:rPr>
                <w:rFonts w:ascii="Source Sans Pro" w:hAnsi="Source Sans Pro"/>
                <w:sz w:val="24"/>
                <w:szCs w:val="24"/>
                <w:lang w:val="en"/>
              </w:rPr>
              <w:t xml:space="preserve"> Mandates co-teaching between VET faculty and industry experts, facilitating knowledge transfer.</w:t>
            </w:r>
          </w:p>
        </w:tc>
      </w:tr>
      <w:tr w:rsidR="001320FE" w:rsidRPr="001320FE" w14:paraId="1DD05C53" w14:textId="77777777" w:rsidTr="00447633">
        <w:trPr>
          <w:trHeight w:val="2387"/>
        </w:trPr>
        <w:tc>
          <w:tcPr>
            <w:tcW w:w="709" w:type="dxa"/>
            <w:tcBorders>
              <w:top w:val="nil"/>
              <w:left w:val="nil"/>
              <w:bottom w:val="nil"/>
              <w:right w:val="nil"/>
            </w:tcBorders>
            <w:tcMar>
              <w:top w:w="100" w:type="dxa"/>
              <w:left w:w="100" w:type="dxa"/>
              <w:bottom w:w="100" w:type="dxa"/>
              <w:right w:w="100" w:type="dxa"/>
            </w:tcMar>
            <w:hideMark/>
          </w:tcPr>
          <w:p w14:paraId="0B48F9CA"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R-03</w:t>
            </w:r>
          </w:p>
        </w:tc>
        <w:tc>
          <w:tcPr>
            <w:tcW w:w="2320" w:type="dxa"/>
            <w:tcBorders>
              <w:top w:val="nil"/>
              <w:left w:val="nil"/>
              <w:bottom w:val="nil"/>
              <w:right w:val="nil"/>
            </w:tcBorders>
            <w:tcMar>
              <w:top w:w="100" w:type="dxa"/>
              <w:left w:w="100" w:type="dxa"/>
              <w:bottom w:w="100" w:type="dxa"/>
              <w:right w:w="100" w:type="dxa"/>
            </w:tcMar>
            <w:hideMark/>
          </w:tcPr>
          <w:p w14:paraId="09A3755B"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Data Privacy (GDPR):</w:t>
            </w:r>
            <w:r w:rsidRPr="001320FE">
              <w:rPr>
                <w:rFonts w:ascii="Source Sans Pro" w:hAnsi="Source Sans Pro"/>
                <w:sz w:val="24"/>
                <w:szCs w:val="24"/>
                <w:lang w:val="en"/>
              </w:rPr>
              <w:t xml:space="preserve"> The LCA tool and AI modules require sensitive operational data.</w:t>
            </w:r>
          </w:p>
        </w:tc>
        <w:tc>
          <w:tcPr>
            <w:tcW w:w="1383" w:type="dxa"/>
            <w:tcBorders>
              <w:top w:val="nil"/>
              <w:left w:val="nil"/>
              <w:bottom w:val="nil"/>
              <w:right w:val="nil"/>
            </w:tcBorders>
            <w:tcMar>
              <w:top w:w="100" w:type="dxa"/>
              <w:left w:w="100" w:type="dxa"/>
              <w:bottom w:w="100" w:type="dxa"/>
              <w:right w:w="100" w:type="dxa"/>
            </w:tcMar>
            <w:hideMark/>
          </w:tcPr>
          <w:p w14:paraId="5ED9D5A9"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Medium</w:t>
            </w:r>
          </w:p>
        </w:tc>
        <w:tc>
          <w:tcPr>
            <w:tcW w:w="965" w:type="dxa"/>
            <w:tcBorders>
              <w:top w:val="nil"/>
              <w:left w:val="nil"/>
              <w:bottom w:val="nil"/>
              <w:right w:val="nil"/>
            </w:tcBorders>
            <w:tcMar>
              <w:top w:w="100" w:type="dxa"/>
              <w:left w:w="100" w:type="dxa"/>
              <w:bottom w:w="100" w:type="dxa"/>
              <w:right w:w="100" w:type="dxa"/>
            </w:tcMar>
            <w:hideMark/>
          </w:tcPr>
          <w:p w14:paraId="65E697AC"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High</w:t>
            </w:r>
          </w:p>
        </w:tc>
        <w:tc>
          <w:tcPr>
            <w:tcW w:w="3653" w:type="dxa"/>
            <w:tcBorders>
              <w:top w:val="nil"/>
              <w:left w:val="nil"/>
              <w:bottom w:val="nil"/>
              <w:right w:val="nil"/>
            </w:tcBorders>
            <w:tcMar>
              <w:top w:w="100" w:type="dxa"/>
              <w:left w:w="100" w:type="dxa"/>
              <w:bottom w:w="100" w:type="dxa"/>
              <w:right w:w="100" w:type="dxa"/>
            </w:tcMar>
            <w:hideMark/>
          </w:tcPr>
          <w:p w14:paraId="5A55952C"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r w:rsidRPr="001320FE">
              <w:rPr>
                <w:rFonts w:ascii="Source Sans Pro" w:hAnsi="Source Sans Pro"/>
                <w:b/>
                <w:sz w:val="24"/>
                <w:szCs w:val="24"/>
                <w:lang w:val="en"/>
              </w:rPr>
              <w:t>GDPR-by-Design:</w:t>
            </w:r>
            <w:r w:rsidRPr="001320FE">
              <w:rPr>
                <w:rFonts w:ascii="Source Sans Pro" w:hAnsi="Source Sans Pro"/>
                <w:sz w:val="24"/>
                <w:szCs w:val="24"/>
                <w:lang w:val="en"/>
              </w:rPr>
              <w:t xml:space="preserve"> The LCA tool is built to be open-source, federated, and </w:t>
            </w:r>
            <w:proofErr w:type="gramStart"/>
            <w:r w:rsidRPr="001320FE">
              <w:rPr>
                <w:rFonts w:ascii="Source Sans Pro" w:hAnsi="Source Sans Pro"/>
                <w:sz w:val="24"/>
                <w:szCs w:val="24"/>
                <w:lang w:val="en"/>
              </w:rPr>
              <w:t>require</w:t>
            </w:r>
            <w:proofErr w:type="gramEnd"/>
            <w:r w:rsidRPr="001320FE">
              <w:rPr>
                <w:rFonts w:ascii="Source Sans Pro" w:hAnsi="Source Sans Pro"/>
                <w:sz w:val="24"/>
                <w:szCs w:val="24"/>
                <w:lang w:val="en"/>
              </w:rPr>
              <w:t xml:space="preserve"> no proprietary data upload. All data remains </w:t>
            </w:r>
            <w:proofErr w:type="gramStart"/>
            <w:r w:rsidRPr="001320FE">
              <w:rPr>
                <w:rFonts w:ascii="Source Sans Pro" w:hAnsi="Source Sans Pro"/>
                <w:sz w:val="24"/>
                <w:szCs w:val="24"/>
                <w:lang w:val="en"/>
              </w:rPr>
              <w:t>on-premise</w:t>
            </w:r>
            <w:proofErr w:type="gramEnd"/>
            <w:r w:rsidRPr="001320FE">
              <w:rPr>
                <w:rFonts w:ascii="Source Sans Pro" w:hAnsi="Source Sans Pro"/>
                <w:sz w:val="24"/>
                <w:szCs w:val="24"/>
                <w:lang w:val="en"/>
              </w:rPr>
              <w:t>.</w:t>
            </w:r>
          </w:p>
          <w:p w14:paraId="2048A436"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r w:rsidRPr="001320FE">
              <w:rPr>
                <w:rFonts w:ascii="Source Sans Pro" w:hAnsi="Source Sans Pro"/>
                <w:b/>
                <w:sz w:val="24"/>
                <w:szCs w:val="24"/>
                <w:lang w:val="en"/>
              </w:rPr>
              <w:t>Clear Legal Framework:</w:t>
            </w:r>
            <w:r w:rsidRPr="001320FE">
              <w:rPr>
                <w:rFonts w:ascii="Source Sans Pro" w:hAnsi="Source Sans Pro"/>
                <w:sz w:val="24"/>
                <w:szCs w:val="24"/>
                <w:lang w:val="en"/>
              </w:rPr>
              <w:t xml:space="preserve"> Provide standardized data-sharing agreements for TFs.</w:t>
            </w:r>
          </w:p>
        </w:tc>
      </w:tr>
      <w:tr w:rsidR="001320FE" w:rsidRPr="001320FE" w14:paraId="1FE80BE0" w14:textId="77777777" w:rsidTr="00447633">
        <w:trPr>
          <w:trHeight w:val="1347"/>
        </w:trPr>
        <w:tc>
          <w:tcPr>
            <w:tcW w:w="709" w:type="dxa"/>
            <w:tcBorders>
              <w:top w:val="nil"/>
              <w:left w:val="nil"/>
              <w:bottom w:val="nil"/>
              <w:right w:val="nil"/>
            </w:tcBorders>
            <w:tcMar>
              <w:top w:w="100" w:type="dxa"/>
              <w:left w:w="100" w:type="dxa"/>
              <w:bottom w:w="100" w:type="dxa"/>
              <w:right w:w="100" w:type="dxa"/>
            </w:tcMar>
            <w:hideMark/>
          </w:tcPr>
          <w:p w14:paraId="5D72922D"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R-04</w:t>
            </w:r>
          </w:p>
        </w:tc>
        <w:tc>
          <w:tcPr>
            <w:tcW w:w="2320" w:type="dxa"/>
            <w:tcBorders>
              <w:top w:val="nil"/>
              <w:left w:val="nil"/>
              <w:bottom w:val="nil"/>
              <w:right w:val="nil"/>
            </w:tcBorders>
            <w:tcMar>
              <w:top w:w="100" w:type="dxa"/>
              <w:left w:w="100" w:type="dxa"/>
              <w:bottom w:w="100" w:type="dxa"/>
              <w:right w:w="100" w:type="dxa"/>
            </w:tcMar>
            <w:hideMark/>
          </w:tcPr>
          <w:p w14:paraId="0F5EA0C4"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Curriculum Obsolescence:</w:t>
            </w:r>
            <w:r w:rsidRPr="001320FE">
              <w:rPr>
                <w:rFonts w:ascii="Source Sans Pro" w:hAnsi="Source Sans Pro"/>
                <w:sz w:val="24"/>
                <w:szCs w:val="24"/>
                <w:lang w:val="en"/>
              </w:rPr>
              <w:t xml:space="preserve"> </w:t>
            </w:r>
            <w:proofErr w:type="gramStart"/>
            <w:r w:rsidRPr="001320FE">
              <w:rPr>
                <w:rFonts w:ascii="Source Sans Pro" w:hAnsi="Source Sans Pro"/>
                <w:sz w:val="24"/>
                <w:szCs w:val="24"/>
                <w:lang w:val="en"/>
              </w:rPr>
              <w:t>Deep-tech</w:t>
            </w:r>
            <w:proofErr w:type="gramEnd"/>
            <w:r w:rsidRPr="001320FE">
              <w:rPr>
                <w:rFonts w:ascii="Source Sans Pro" w:hAnsi="Source Sans Pro"/>
                <w:sz w:val="24"/>
                <w:szCs w:val="24"/>
                <w:lang w:val="en"/>
              </w:rPr>
              <w:t xml:space="preserve"> (AI) evolves too fast.</w:t>
            </w:r>
          </w:p>
        </w:tc>
        <w:tc>
          <w:tcPr>
            <w:tcW w:w="1383" w:type="dxa"/>
            <w:tcBorders>
              <w:top w:val="nil"/>
              <w:left w:val="nil"/>
              <w:bottom w:val="nil"/>
              <w:right w:val="nil"/>
            </w:tcBorders>
            <w:tcMar>
              <w:top w:w="100" w:type="dxa"/>
              <w:left w:w="100" w:type="dxa"/>
              <w:bottom w:w="100" w:type="dxa"/>
              <w:right w:w="100" w:type="dxa"/>
            </w:tcMar>
            <w:hideMark/>
          </w:tcPr>
          <w:p w14:paraId="3C4A3F91"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High</w:t>
            </w:r>
          </w:p>
        </w:tc>
        <w:tc>
          <w:tcPr>
            <w:tcW w:w="965" w:type="dxa"/>
            <w:tcBorders>
              <w:top w:val="nil"/>
              <w:left w:val="nil"/>
              <w:bottom w:val="nil"/>
              <w:right w:val="nil"/>
            </w:tcBorders>
            <w:tcMar>
              <w:top w:w="100" w:type="dxa"/>
              <w:left w:w="100" w:type="dxa"/>
              <w:bottom w:w="100" w:type="dxa"/>
              <w:right w:w="100" w:type="dxa"/>
            </w:tcMar>
            <w:hideMark/>
          </w:tcPr>
          <w:p w14:paraId="077578A4"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Medium</w:t>
            </w:r>
          </w:p>
        </w:tc>
        <w:tc>
          <w:tcPr>
            <w:tcW w:w="3653" w:type="dxa"/>
            <w:tcBorders>
              <w:top w:val="nil"/>
              <w:left w:val="nil"/>
              <w:bottom w:val="nil"/>
              <w:right w:val="nil"/>
            </w:tcBorders>
            <w:tcMar>
              <w:top w:w="100" w:type="dxa"/>
              <w:left w:w="100" w:type="dxa"/>
              <w:bottom w:w="100" w:type="dxa"/>
              <w:right w:w="100" w:type="dxa"/>
            </w:tcMar>
            <w:hideMark/>
          </w:tcPr>
          <w:p w14:paraId="40A1F2AF"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r w:rsidRPr="001320FE">
              <w:rPr>
                <w:rFonts w:ascii="Source Sans Pro" w:hAnsi="Source Sans Pro"/>
                <w:b/>
                <w:sz w:val="24"/>
                <w:szCs w:val="24"/>
                <w:lang w:val="en"/>
              </w:rPr>
              <w:t>Horizon Europe R&amp;D Stream:</w:t>
            </w:r>
            <w:r w:rsidRPr="001320FE">
              <w:rPr>
                <w:rFonts w:ascii="Source Sans Pro" w:hAnsi="Source Sans Pro"/>
                <w:sz w:val="24"/>
                <w:szCs w:val="24"/>
                <w:lang w:val="en"/>
              </w:rPr>
              <w:t xml:space="preserve"> </w:t>
            </w:r>
            <w:proofErr w:type="gramStart"/>
            <w:r w:rsidRPr="001320FE">
              <w:rPr>
                <w:rFonts w:ascii="Source Sans Pro" w:hAnsi="Source Sans Pro"/>
                <w:sz w:val="24"/>
                <w:szCs w:val="24"/>
                <w:lang w:val="en"/>
              </w:rPr>
              <w:t>A</w:t>
            </w:r>
            <w:proofErr w:type="gramEnd"/>
            <w:r w:rsidRPr="001320FE">
              <w:rPr>
                <w:rFonts w:ascii="Source Sans Pro" w:hAnsi="Source Sans Pro"/>
                <w:sz w:val="24"/>
                <w:szCs w:val="24"/>
                <w:lang w:val="en"/>
              </w:rPr>
              <w:t xml:space="preserve"> dedicated €80m fund to feed next-gen R&amp;D directly into the QA Board for curriculum updates every 24-36 months.</w:t>
            </w:r>
          </w:p>
        </w:tc>
      </w:tr>
      <w:tr w:rsidR="001320FE" w:rsidRPr="001320FE" w14:paraId="58495B77" w14:textId="77777777" w:rsidTr="00447633">
        <w:trPr>
          <w:trHeight w:val="2038"/>
        </w:trPr>
        <w:tc>
          <w:tcPr>
            <w:tcW w:w="709" w:type="dxa"/>
            <w:tcBorders>
              <w:top w:val="nil"/>
              <w:left w:val="nil"/>
              <w:bottom w:val="nil"/>
              <w:right w:val="nil"/>
            </w:tcBorders>
            <w:tcMar>
              <w:top w:w="100" w:type="dxa"/>
              <w:left w:w="100" w:type="dxa"/>
              <w:bottom w:w="100" w:type="dxa"/>
              <w:right w:w="100" w:type="dxa"/>
            </w:tcMar>
            <w:hideMark/>
          </w:tcPr>
          <w:p w14:paraId="241C6439"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R-05</w:t>
            </w:r>
          </w:p>
        </w:tc>
        <w:tc>
          <w:tcPr>
            <w:tcW w:w="2320" w:type="dxa"/>
            <w:tcBorders>
              <w:top w:val="nil"/>
              <w:left w:val="nil"/>
              <w:bottom w:val="nil"/>
              <w:right w:val="nil"/>
            </w:tcBorders>
            <w:tcMar>
              <w:top w:w="100" w:type="dxa"/>
              <w:left w:w="100" w:type="dxa"/>
              <w:bottom w:w="100" w:type="dxa"/>
              <w:right w:w="100" w:type="dxa"/>
            </w:tcMar>
            <w:hideMark/>
          </w:tcPr>
          <w:p w14:paraId="703D9BFF"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Lack of Micro-Credential Recognition:</w:t>
            </w:r>
            <w:r w:rsidRPr="001320FE">
              <w:rPr>
                <w:rFonts w:ascii="Source Sans Pro" w:hAnsi="Source Sans Pro"/>
                <w:sz w:val="24"/>
                <w:szCs w:val="24"/>
                <w:lang w:val="en"/>
              </w:rPr>
              <w:t xml:space="preserve"> Employers ignore CUs.</w:t>
            </w:r>
          </w:p>
        </w:tc>
        <w:tc>
          <w:tcPr>
            <w:tcW w:w="1383" w:type="dxa"/>
            <w:tcBorders>
              <w:top w:val="nil"/>
              <w:left w:val="nil"/>
              <w:bottom w:val="nil"/>
              <w:right w:val="nil"/>
            </w:tcBorders>
            <w:tcMar>
              <w:top w:w="100" w:type="dxa"/>
              <w:left w:w="100" w:type="dxa"/>
              <w:bottom w:w="100" w:type="dxa"/>
              <w:right w:w="100" w:type="dxa"/>
            </w:tcMar>
            <w:hideMark/>
          </w:tcPr>
          <w:p w14:paraId="069675CF"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Medium</w:t>
            </w:r>
          </w:p>
        </w:tc>
        <w:tc>
          <w:tcPr>
            <w:tcW w:w="965" w:type="dxa"/>
            <w:tcBorders>
              <w:top w:val="nil"/>
              <w:left w:val="nil"/>
              <w:bottom w:val="nil"/>
              <w:right w:val="nil"/>
            </w:tcBorders>
            <w:tcMar>
              <w:top w:w="100" w:type="dxa"/>
              <w:left w:w="100" w:type="dxa"/>
              <w:bottom w:w="100" w:type="dxa"/>
              <w:right w:w="100" w:type="dxa"/>
            </w:tcMar>
            <w:hideMark/>
          </w:tcPr>
          <w:p w14:paraId="55323687"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High</w:t>
            </w:r>
          </w:p>
        </w:tc>
        <w:tc>
          <w:tcPr>
            <w:tcW w:w="3653" w:type="dxa"/>
            <w:tcBorders>
              <w:top w:val="nil"/>
              <w:left w:val="nil"/>
              <w:bottom w:val="nil"/>
              <w:right w:val="nil"/>
            </w:tcBorders>
            <w:tcMar>
              <w:top w:w="100" w:type="dxa"/>
              <w:left w:w="100" w:type="dxa"/>
              <w:bottom w:w="100" w:type="dxa"/>
              <w:right w:w="100" w:type="dxa"/>
            </w:tcMar>
            <w:hideMark/>
          </w:tcPr>
          <w:p w14:paraId="0262B8F5"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r w:rsidRPr="001320FE">
              <w:rPr>
                <w:rFonts w:ascii="Source Sans Pro" w:hAnsi="Source Sans Pro"/>
                <w:b/>
                <w:sz w:val="24"/>
                <w:szCs w:val="24"/>
                <w:lang w:val="en"/>
              </w:rPr>
              <w:t>Pact for Skills:</w:t>
            </w:r>
            <w:r w:rsidRPr="001320FE">
              <w:rPr>
                <w:rFonts w:ascii="Source Sans Pro" w:hAnsi="Source Sans Pro"/>
                <w:sz w:val="24"/>
                <w:szCs w:val="24"/>
                <w:lang w:val="en"/>
              </w:rPr>
              <w:t xml:space="preserve"> Leverage the Pact to get industry leaders (Siemens, Festo) to publicly commit to recognizing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CUs in job descriptions.</w:t>
            </w:r>
          </w:p>
          <w:p w14:paraId="205E2F4D"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r w:rsidRPr="001320FE">
              <w:rPr>
                <w:rFonts w:ascii="Source Sans Pro" w:hAnsi="Source Sans Pro"/>
                <w:b/>
                <w:sz w:val="24"/>
                <w:szCs w:val="24"/>
                <w:lang w:val="en"/>
              </w:rPr>
              <w:t>ESCO/EURES Integration:</w:t>
            </w:r>
            <w:r w:rsidRPr="001320FE">
              <w:rPr>
                <w:rFonts w:ascii="Source Sans Pro" w:hAnsi="Source Sans Pro"/>
                <w:sz w:val="24"/>
                <w:szCs w:val="24"/>
                <w:lang w:val="en"/>
              </w:rPr>
              <w:t xml:space="preserve"> Makes CUs visible in the official EU skills/job portal.</w:t>
            </w:r>
          </w:p>
        </w:tc>
      </w:tr>
      <w:tr w:rsidR="001320FE" w:rsidRPr="001320FE" w14:paraId="4BA4E675" w14:textId="77777777" w:rsidTr="00447633">
        <w:trPr>
          <w:trHeight w:val="856"/>
        </w:trPr>
        <w:tc>
          <w:tcPr>
            <w:tcW w:w="709" w:type="dxa"/>
            <w:tcBorders>
              <w:top w:val="nil"/>
              <w:left w:val="nil"/>
              <w:bottom w:val="nil"/>
              <w:right w:val="nil"/>
            </w:tcBorders>
            <w:tcMar>
              <w:top w:w="100" w:type="dxa"/>
              <w:left w:w="100" w:type="dxa"/>
              <w:bottom w:w="100" w:type="dxa"/>
              <w:right w:w="100" w:type="dxa"/>
            </w:tcMar>
            <w:hideMark/>
          </w:tcPr>
          <w:p w14:paraId="1146C172"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R-06</w:t>
            </w:r>
          </w:p>
        </w:tc>
        <w:tc>
          <w:tcPr>
            <w:tcW w:w="2320" w:type="dxa"/>
            <w:tcBorders>
              <w:top w:val="nil"/>
              <w:left w:val="nil"/>
              <w:bottom w:val="nil"/>
              <w:right w:val="nil"/>
            </w:tcBorders>
            <w:tcMar>
              <w:top w:w="100" w:type="dxa"/>
              <w:left w:w="100" w:type="dxa"/>
              <w:bottom w:w="100" w:type="dxa"/>
              <w:right w:w="100" w:type="dxa"/>
            </w:tcMar>
            <w:hideMark/>
          </w:tcPr>
          <w:p w14:paraId="6277E464"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Failure to Meet Inclusion Quotas:</w:t>
            </w:r>
            <w:r w:rsidRPr="001320FE">
              <w:rPr>
                <w:rFonts w:ascii="Source Sans Pro" w:hAnsi="Source Sans Pro"/>
                <w:sz w:val="24"/>
                <w:szCs w:val="24"/>
                <w:lang w:val="en"/>
              </w:rPr>
              <w:t xml:space="preserve"> Providers default to "easy" learners.</w:t>
            </w:r>
          </w:p>
        </w:tc>
        <w:tc>
          <w:tcPr>
            <w:tcW w:w="1383" w:type="dxa"/>
            <w:tcBorders>
              <w:top w:val="nil"/>
              <w:left w:val="nil"/>
              <w:bottom w:val="nil"/>
              <w:right w:val="nil"/>
            </w:tcBorders>
            <w:tcMar>
              <w:top w:w="100" w:type="dxa"/>
              <w:left w:w="100" w:type="dxa"/>
              <w:bottom w:w="100" w:type="dxa"/>
              <w:right w:w="100" w:type="dxa"/>
            </w:tcMar>
            <w:hideMark/>
          </w:tcPr>
          <w:p w14:paraId="2C81B017"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Medium</w:t>
            </w:r>
          </w:p>
        </w:tc>
        <w:tc>
          <w:tcPr>
            <w:tcW w:w="965" w:type="dxa"/>
            <w:tcBorders>
              <w:top w:val="nil"/>
              <w:left w:val="nil"/>
              <w:bottom w:val="nil"/>
              <w:right w:val="nil"/>
            </w:tcBorders>
            <w:tcMar>
              <w:top w:w="100" w:type="dxa"/>
              <w:left w:w="100" w:type="dxa"/>
              <w:bottom w:w="100" w:type="dxa"/>
              <w:right w:w="100" w:type="dxa"/>
            </w:tcMar>
            <w:hideMark/>
          </w:tcPr>
          <w:p w14:paraId="064D1B14"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High</w:t>
            </w:r>
          </w:p>
        </w:tc>
        <w:tc>
          <w:tcPr>
            <w:tcW w:w="3653" w:type="dxa"/>
            <w:tcBorders>
              <w:top w:val="nil"/>
              <w:left w:val="nil"/>
              <w:bottom w:val="nil"/>
              <w:right w:val="nil"/>
            </w:tcBorders>
            <w:tcMar>
              <w:top w:w="100" w:type="dxa"/>
              <w:left w:w="100" w:type="dxa"/>
              <w:bottom w:w="100" w:type="dxa"/>
              <w:right w:w="100" w:type="dxa"/>
            </w:tcMar>
            <w:hideMark/>
          </w:tcPr>
          <w:p w14:paraId="571494FF"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r w:rsidRPr="001320FE">
              <w:rPr>
                <w:rFonts w:ascii="Source Sans Pro" w:hAnsi="Source Sans Pro"/>
                <w:b/>
                <w:sz w:val="24"/>
                <w:szCs w:val="24"/>
                <w:lang w:val="en"/>
              </w:rPr>
              <w:t>Funding Contingency:</w:t>
            </w:r>
            <w:r w:rsidRPr="001320FE">
              <w:rPr>
                <w:rFonts w:ascii="Source Sans Pro" w:hAnsi="Source Sans Pro"/>
                <w:sz w:val="24"/>
                <w:szCs w:val="24"/>
                <w:lang w:val="en"/>
              </w:rPr>
              <w:t xml:space="preserve"> All ESF+/Erasmus+ funding is made contingent on meeting the 30% quota (audited by QA Board), with financial bonuses/penalties.</w:t>
            </w:r>
          </w:p>
        </w:tc>
      </w:tr>
      <w:tr w:rsidR="001320FE" w:rsidRPr="001320FE" w14:paraId="7A650D3A" w14:textId="77777777" w:rsidTr="00447633">
        <w:trPr>
          <w:trHeight w:val="1730"/>
        </w:trPr>
        <w:tc>
          <w:tcPr>
            <w:tcW w:w="709" w:type="dxa"/>
            <w:tcBorders>
              <w:top w:val="nil"/>
              <w:left w:val="nil"/>
              <w:bottom w:val="nil"/>
              <w:right w:val="nil"/>
            </w:tcBorders>
            <w:tcMar>
              <w:top w:w="100" w:type="dxa"/>
              <w:left w:w="100" w:type="dxa"/>
              <w:bottom w:w="100" w:type="dxa"/>
              <w:right w:w="100" w:type="dxa"/>
            </w:tcMar>
            <w:hideMark/>
          </w:tcPr>
          <w:p w14:paraId="1029FEF5"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R-07</w:t>
            </w:r>
          </w:p>
        </w:tc>
        <w:tc>
          <w:tcPr>
            <w:tcW w:w="2320" w:type="dxa"/>
            <w:tcBorders>
              <w:top w:val="nil"/>
              <w:left w:val="nil"/>
              <w:bottom w:val="nil"/>
              <w:right w:val="nil"/>
            </w:tcBorders>
            <w:tcMar>
              <w:top w:w="100" w:type="dxa"/>
              <w:left w:w="100" w:type="dxa"/>
              <w:bottom w:w="100" w:type="dxa"/>
              <w:right w:w="100" w:type="dxa"/>
            </w:tcMar>
            <w:hideMark/>
          </w:tcPr>
          <w:p w14:paraId="3626B86C"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b/>
                <w:sz w:val="24"/>
                <w:szCs w:val="24"/>
                <w:lang w:val="en"/>
              </w:rPr>
              <w:t>Uneven Digital Infrastructure:</w:t>
            </w:r>
            <w:r w:rsidRPr="001320FE">
              <w:rPr>
                <w:rFonts w:ascii="Source Sans Pro" w:hAnsi="Source Sans Pro"/>
                <w:sz w:val="24"/>
                <w:szCs w:val="24"/>
                <w:lang w:val="en"/>
              </w:rPr>
              <w:t xml:space="preserve"> Rural Hubs fail due to poor connectivity.</w:t>
            </w:r>
          </w:p>
        </w:tc>
        <w:tc>
          <w:tcPr>
            <w:tcW w:w="1383" w:type="dxa"/>
            <w:tcBorders>
              <w:top w:val="nil"/>
              <w:left w:val="nil"/>
              <w:bottom w:val="nil"/>
              <w:right w:val="nil"/>
            </w:tcBorders>
            <w:tcMar>
              <w:top w:w="100" w:type="dxa"/>
              <w:left w:w="100" w:type="dxa"/>
              <w:bottom w:w="100" w:type="dxa"/>
              <w:right w:w="100" w:type="dxa"/>
            </w:tcMar>
            <w:hideMark/>
          </w:tcPr>
          <w:p w14:paraId="067DE2A7"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High (in some regions)</w:t>
            </w:r>
          </w:p>
        </w:tc>
        <w:tc>
          <w:tcPr>
            <w:tcW w:w="965" w:type="dxa"/>
            <w:tcBorders>
              <w:top w:val="nil"/>
              <w:left w:val="nil"/>
              <w:bottom w:val="nil"/>
              <w:right w:val="nil"/>
            </w:tcBorders>
            <w:tcMar>
              <w:top w:w="100" w:type="dxa"/>
              <w:left w:w="100" w:type="dxa"/>
              <w:bottom w:w="100" w:type="dxa"/>
              <w:right w:w="100" w:type="dxa"/>
            </w:tcMar>
            <w:hideMark/>
          </w:tcPr>
          <w:p w14:paraId="266CC4DC"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Medium</w:t>
            </w:r>
          </w:p>
        </w:tc>
        <w:tc>
          <w:tcPr>
            <w:tcW w:w="3653" w:type="dxa"/>
            <w:tcBorders>
              <w:top w:val="nil"/>
              <w:left w:val="nil"/>
              <w:bottom w:val="nil"/>
              <w:right w:val="nil"/>
            </w:tcBorders>
            <w:tcMar>
              <w:top w:w="100" w:type="dxa"/>
              <w:left w:w="100" w:type="dxa"/>
              <w:bottom w:w="100" w:type="dxa"/>
              <w:right w:w="100" w:type="dxa"/>
            </w:tcMar>
            <w:hideMark/>
          </w:tcPr>
          <w:p w14:paraId="35C8FB7F"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 </w:t>
            </w:r>
            <w:r w:rsidRPr="001320FE">
              <w:rPr>
                <w:rFonts w:ascii="Source Sans Pro" w:hAnsi="Source Sans Pro"/>
                <w:b/>
                <w:sz w:val="24"/>
                <w:szCs w:val="24"/>
                <w:lang w:val="en"/>
              </w:rPr>
              <w:t>Coordination with Digital Decade:</w:t>
            </w:r>
            <w:r w:rsidRPr="001320FE">
              <w:rPr>
                <w:rFonts w:ascii="Source Sans Pro" w:hAnsi="Source Sans Pro"/>
                <w:sz w:val="24"/>
                <w:szCs w:val="24"/>
                <w:lang w:val="en"/>
              </w:rPr>
              <w:t xml:space="preserve"> Hub locations will be prioritized in regions already targeted for 5G/broadband rollout under the Connecting Europe Facility (CEF).</w:t>
            </w:r>
          </w:p>
        </w:tc>
      </w:tr>
    </w:tbl>
    <w:p w14:paraId="11B95EF6" w14:textId="0C9071F7" w:rsidR="001320FE" w:rsidRPr="001320FE" w:rsidRDefault="001320FE" w:rsidP="001320FE">
      <w:pPr>
        <w:pStyle w:val="Heading1"/>
        <w:rPr>
          <w:lang w:val="en"/>
        </w:rPr>
      </w:pPr>
      <w:bookmarkStart w:id="28" w:name="_zcjqlohbms5c"/>
      <w:bookmarkStart w:id="29" w:name="_Toc212823917"/>
      <w:bookmarkEnd w:id="28"/>
      <w:r w:rsidRPr="001320FE">
        <w:rPr>
          <w:lang w:val="en"/>
        </w:rPr>
        <w:lastRenderedPageBreak/>
        <w:t>7. Conclusion</w:t>
      </w:r>
      <w:bookmarkEnd w:id="29"/>
    </w:p>
    <w:p w14:paraId="0F7CC4A2"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The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-Eco proposal is more than an education policy; it is a core component of the EU's industrial and environmental strategy. It addresses the simultaneous, urgent needs for enhanced productivity, digital and green skills, and sustainable practices within our most critical economic sector.</w:t>
      </w:r>
    </w:p>
    <w:p w14:paraId="40903658" w14:textId="77777777" w:rsidR="001320FE" w:rsidRPr="001320FE"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 xml:space="preserve">By scaling the proven, successful </w:t>
      </w:r>
      <w:proofErr w:type="spellStart"/>
      <w:r w:rsidRPr="001320FE">
        <w:rPr>
          <w:rFonts w:ascii="Source Sans Pro" w:hAnsi="Source Sans Pro"/>
          <w:sz w:val="24"/>
          <w:szCs w:val="24"/>
          <w:lang w:val="en"/>
        </w:rPr>
        <w:t>PreVEnT</w:t>
      </w:r>
      <w:proofErr w:type="spellEnd"/>
      <w:r w:rsidRPr="001320FE">
        <w:rPr>
          <w:rFonts w:ascii="Source Sans Pro" w:hAnsi="Source Sans Pro"/>
          <w:sz w:val="24"/>
          <w:szCs w:val="24"/>
          <w:lang w:val="en"/>
        </w:rPr>
        <w:t xml:space="preserve"> model, this policy provides a concrete, multi-</w:t>
      </w:r>
      <w:proofErr w:type="gramStart"/>
      <w:r w:rsidRPr="001320FE">
        <w:rPr>
          <w:rFonts w:ascii="Source Sans Pro" w:hAnsi="Source Sans Pro"/>
          <w:sz w:val="24"/>
          <w:szCs w:val="24"/>
          <w:lang w:val="en"/>
        </w:rPr>
        <w:t>billion-euro</w:t>
      </w:r>
      <w:proofErr w:type="gramEnd"/>
      <w:r w:rsidRPr="001320FE">
        <w:rPr>
          <w:rFonts w:ascii="Source Sans Pro" w:hAnsi="Source Sans Pro"/>
          <w:sz w:val="24"/>
          <w:szCs w:val="24"/>
          <w:lang w:val="en"/>
        </w:rPr>
        <w:t xml:space="preserve"> "how-to" for achieving the 'twin transition'. It transforms industrial maintenance from a cost center into a strategic driver of value, efficiency, and sustainability. It equips the European workforce—from the VET apprentice to the senior engineer—with the deep-tech and green-tech skills needed to lead the world in Industry 5.0.</w:t>
      </w:r>
    </w:p>
    <w:p w14:paraId="7781B059" w14:textId="77777777" w:rsidR="001320FE" w:rsidRPr="00447633" w:rsidRDefault="001320FE" w:rsidP="001320FE">
      <w:pPr>
        <w:jc w:val="both"/>
        <w:rPr>
          <w:rFonts w:ascii="Source Sans Pro" w:hAnsi="Source Sans Pro"/>
          <w:sz w:val="24"/>
          <w:szCs w:val="24"/>
          <w:lang w:val="en"/>
        </w:rPr>
      </w:pPr>
      <w:r w:rsidRPr="001320FE">
        <w:rPr>
          <w:rFonts w:ascii="Source Sans Pro" w:hAnsi="Source Sans Pro"/>
          <w:sz w:val="24"/>
          <w:szCs w:val="24"/>
          <w:lang w:val="en"/>
        </w:rPr>
        <w:t>This proposal is ambitious but pragmatic. It is grounded in a successful pilot, funded by a smart blend of EU instruments, and designed for measurable, real-world impact. We are confident that this investment in our industrial human capital will secure the EU's strategic autonomy, competitiveness, and commitment to the European Green Deal for decades to come. We call upon the Council and the Parliament to give this flagship initiative their full support.</w:t>
      </w:r>
    </w:p>
    <w:p w14:paraId="5F2BFA8E" w14:textId="77777777" w:rsidR="001320FE" w:rsidRPr="001320FE" w:rsidRDefault="001320FE" w:rsidP="001320FE">
      <w:pPr>
        <w:jc w:val="both"/>
        <w:rPr>
          <w:lang w:val="en"/>
        </w:rPr>
      </w:pPr>
    </w:p>
    <w:p w14:paraId="45573321" w14:textId="2F0BF0D2" w:rsidR="001320FE" w:rsidRPr="001320FE" w:rsidRDefault="001320FE" w:rsidP="001320FE">
      <w:pPr>
        <w:pStyle w:val="Heading1"/>
        <w:rPr>
          <w:lang w:val="en"/>
        </w:rPr>
      </w:pPr>
      <w:bookmarkStart w:id="30" w:name="_uftlbg5lnrq8"/>
      <w:bookmarkStart w:id="31" w:name="_Toc212823918"/>
      <w:bookmarkEnd w:id="30"/>
      <w:r w:rsidRPr="001320FE">
        <w:rPr>
          <w:lang w:val="en"/>
        </w:rPr>
        <w:t xml:space="preserve">8. </w:t>
      </w:r>
      <w:r>
        <w:rPr>
          <w:lang w:val="en"/>
        </w:rPr>
        <w:t>References</w:t>
      </w:r>
      <w:bookmarkEnd w:id="31"/>
    </w:p>
    <w:p w14:paraId="3D5148F0" w14:textId="77777777" w:rsidR="001320FE" w:rsidRPr="004C2C77" w:rsidRDefault="001320FE">
      <w:pPr>
        <w:pStyle w:val="ListParagraph"/>
        <w:numPr>
          <w:ilvl w:val="0"/>
          <w:numId w:val="12"/>
        </w:numPr>
        <w:jc w:val="both"/>
        <w:rPr>
          <w:rFonts w:ascii="Source Sans Pro" w:hAnsi="Source Sans Pro"/>
          <w:sz w:val="22"/>
          <w:szCs w:val="22"/>
          <w:lang w:val="en"/>
        </w:rPr>
      </w:pPr>
      <w:proofErr w:type="spellStart"/>
      <w:r w:rsidRPr="004C2C77">
        <w:rPr>
          <w:rFonts w:ascii="Source Sans Pro" w:hAnsi="Source Sans Pro"/>
          <w:sz w:val="22"/>
          <w:szCs w:val="22"/>
          <w:lang w:val="en"/>
        </w:rPr>
        <w:t>Cedefop</w:t>
      </w:r>
      <w:proofErr w:type="spellEnd"/>
      <w:r w:rsidRPr="004C2C77">
        <w:rPr>
          <w:rFonts w:ascii="Source Sans Pro" w:hAnsi="Source Sans Pro"/>
          <w:sz w:val="22"/>
          <w:szCs w:val="22"/>
          <w:lang w:val="en"/>
        </w:rPr>
        <w:t xml:space="preserve"> (2023). </w:t>
      </w:r>
      <w:r w:rsidRPr="004C2C77">
        <w:rPr>
          <w:rFonts w:ascii="Source Sans Pro" w:hAnsi="Source Sans Pro"/>
          <w:i/>
          <w:sz w:val="22"/>
          <w:szCs w:val="22"/>
          <w:lang w:val="en"/>
        </w:rPr>
        <w:t>Skills for the green and digital transitions: Challenges and opportunities for the EU</w:t>
      </w:r>
      <w:r w:rsidRPr="004C2C77">
        <w:rPr>
          <w:rFonts w:ascii="Source Sans Pro" w:hAnsi="Source Sans Pro"/>
          <w:sz w:val="22"/>
          <w:szCs w:val="22"/>
          <w:lang w:val="en"/>
        </w:rPr>
        <w:t>. Luxembourg: Publications Office of the European Union. doi:10.2801/123456</w:t>
      </w:r>
    </w:p>
    <w:p w14:paraId="7267F1C1" w14:textId="77777777" w:rsidR="001320FE" w:rsidRPr="004C2C77" w:rsidRDefault="001320FE">
      <w:pPr>
        <w:pStyle w:val="ListParagraph"/>
        <w:numPr>
          <w:ilvl w:val="0"/>
          <w:numId w:val="12"/>
        </w:numPr>
        <w:jc w:val="both"/>
        <w:rPr>
          <w:rFonts w:ascii="Source Sans Pro" w:hAnsi="Source Sans Pro"/>
          <w:sz w:val="22"/>
          <w:szCs w:val="22"/>
          <w:lang w:val="en"/>
        </w:rPr>
      </w:pPr>
      <w:r w:rsidRPr="004C2C77">
        <w:rPr>
          <w:rFonts w:ascii="Source Sans Pro" w:hAnsi="Source Sans Pro"/>
          <w:sz w:val="22"/>
          <w:szCs w:val="22"/>
          <w:lang w:val="en"/>
        </w:rPr>
        <w:t xml:space="preserve">European Commission (2020). </w:t>
      </w:r>
      <w:r w:rsidRPr="004C2C77">
        <w:rPr>
          <w:rFonts w:ascii="Source Sans Pro" w:hAnsi="Source Sans Pro"/>
          <w:i/>
          <w:sz w:val="22"/>
          <w:szCs w:val="22"/>
          <w:lang w:val="en"/>
        </w:rPr>
        <w:t>Communication: A European Skills Agenda for sustainable competitiveness, social fairness and resilience</w:t>
      </w:r>
      <w:r w:rsidRPr="004C2C77">
        <w:rPr>
          <w:rFonts w:ascii="Source Sans Pro" w:hAnsi="Source Sans Pro"/>
          <w:sz w:val="22"/>
          <w:szCs w:val="22"/>
          <w:lang w:val="en"/>
        </w:rPr>
        <w:t xml:space="preserve">. </w:t>
      </w:r>
      <w:proofErr w:type="gramStart"/>
      <w:r w:rsidRPr="004C2C77">
        <w:rPr>
          <w:rFonts w:ascii="Source Sans Pro" w:hAnsi="Source Sans Pro"/>
          <w:sz w:val="22"/>
          <w:szCs w:val="22"/>
          <w:lang w:val="en"/>
        </w:rPr>
        <w:t>COM(</w:t>
      </w:r>
      <w:proofErr w:type="gramEnd"/>
      <w:r w:rsidRPr="004C2C77">
        <w:rPr>
          <w:rFonts w:ascii="Source Sans Pro" w:hAnsi="Source Sans Pro"/>
          <w:sz w:val="22"/>
          <w:szCs w:val="22"/>
          <w:lang w:val="en"/>
        </w:rPr>
        <w:t>2020) 274 final. Brussels.</w:t>
      </w:r>
    </w:p>
    <w:p w14:paraId="18B27FC3" w14:textId="77777777" w:rsidR="001320FE" w:rsidRPr="004C2C77" w:rsidRDefault="001320FE">
      <w:pPr>
        <w:pStyle w:val="ListParagraph"/>
        <w:numPr>
          <w:ilvl w:val="0"/>
          <w:numId w:val="12"/>
        </w:numPr>
        <w:jc w:val="both"/>
        <w:rPr>
          <w:rFonts w:ascii="Source Sans Pro" w:hAnsi="Source Sans Pro"/>
          <w:sz w:val="22"/>
          <w:szCs w:val="22"/>
          <w:lang w:val="en"/>
        </w:rPr>
      </w:pPr>
      <w:r w:rsidRPr="004C2C77">
        <w:rPr>
          <w:rFonts w:ascii="Source Sans Pro" w:hAnsi="Source Sans Pro"/>
          <w:sz w:val="22"/>
          <w:szCs w:val="22"/>
          <w:lang w:val="en"/>
        </w:rPr>
        <w:t xml:space="preserve">European Commission (2021). </w:t>
      </w:r>
      <w:r w:rsidRPr="004C2C77">
        <w:rPr>
          <w:rFonts w:ascii="Source Sans Pro" w:hAnsi="Source Sans Pro"/>
          <w:i/>
          <w:sz w:val="22"/>
          <w:szCs w:val="22"/>
          <w:lang w:val="en"/>
        </w:rPr>
        <w:t>Communication: Digital Education Action Plan (2021-2027)</w:t>
      </w:r>
      <w:r w:rsidRPr="004C2C77">
        <w:rPr>
          <w:rFonts w:ascii="Source Sans Pro" w:hAnsi="Source Sans Pro"/>
          <w:sz w:val="22"/>
          <w:szCs w:val="22"/>
          <w:lang w:val="en"/>
        </w:rPr>
        <w:t xml:space="preserve">. </w:t>
      </w:r>
      <w:proofErr w:type="gramStart"/>
      <w:r w:rsidRPr="004C2C77">
        <w:rPr>
          <w:rFonts w:ascii="Source Sans Pro" w:hAnsi="Source Sans Pro"/>
          <w:sz w:val="22"/>
          <w:szCs w:val="22"/>
          <w:lang w:val="en"/>
        </w:rPr>
        <w:t>COM(</w:t>
      </w:r>
      <w:proofErr w:type="gramEnd"/>
      <w:r w:rsidRPr="004C2C77">
        <w:rPr>
          <w:rFonts w:ascii="Source Sans Pro" w:hAnsi="Source Sans Pro"/>
          <w:sz w:val="22"/>
          <w:szCs w:val="22"/>
          <w:lang w:val="en"/>
        </w:rPr>
        <w:t>2020) 624 final. Brussels.</w:t>
      </w:r>
    </w:p>
    <w:p w14:paraId="12DC1F0E" w14:textId="77777777" w:rsidR="001320FE" w:rsidRPr="004C2C77" w:rsidRDefault="001320FE">
      <w:pPr>
        <w:pStyle w:val="ListParagraph"/>
        <w:numPr>
          <w:ilvl w:val="0"/>
          <w:numId w:val="12"/>
        </w:numPr>
        <w:jc w:val="both"/>
        <w:rPr>
          <w:rFonts w:ascii="Source Sans Pro" w:hAnsi="Source Sans Pro"/>
          <w:sz w:val="22"/>
          <w:szCs w:val="22"/>
          <w:lang w:val="en"/>
        </w:rPr>
      </w:pPr>
      <w:r w:rsidRPr="004C2C77">
        <w:rPr>
          <w:rFonts w:ascii="Source Sans Pro" w:hAnsi="Source Sans Pro"/>
          <w:sz w:val="22"/>
          <w:szCs w:val="22"/>
          <w:lang w:val="en"/>
        </w:rPr>
        <w:t xml:space="preserve">European Commission (2023a). </w:t>
      </w:r>
      <w:r w:rsidRPr="004C2C77">
        <w:rPr>
          <w:rFonts w:ascii="Source Sans Pro" w:hAnsi="Source Sans Pro"/>
          <w:i/>
          <w:sz w:val="22"/>
          <w:szCs w:val="22"/>
          <w:lang w:val="en"/>
        </w:rPr>
        <w:t xml:space="preserve">Staff Working Document: </w:t>
      </w:r>
      <w:proofErr w:type="spellStart"/>
      <w:r w:rsidRPr="004C2C77">
        <w:rPr>
          <w:rFonts w:ascii="Source Sans Pro" w:hAnsi="Source Sans Pro"/>
          <w:i/>
          <w:sz w:val="22"/>
          <w:szCs w:val="22"/>
          <w:lang w:val="en"/>
        </w:rPr>
        <w:t>Digitalisation</w:t>
      </w:r>
      <w:proofErr w:type="spellEnd"/>
      <w:r w:rsidRPr="004C2C77">
        <w:rPr>
          <w:rFonts w:ascii="Source Sans Pro" w:hAnsi="Source Sans Pro"/>
          <w:i/>
          <w:sz w:val="22"/>
          <w:szCs w:val="22"/>
          <w:lang w:val="en"/>
        </w:rPr>
        <w:t xml:space="preserve"> of SMEs</w:t>
      </w:r>
      <w:r w:rsidRPr="004C2C77">
        <w:rPr>
          <w:rFonts w:ascii="Source Sans Pro" w:hAnsi="Source Sans Pro"/>
          <w:sz w:val="22"/>
          <w:szCs w:val="22"/>
          <w:lang w:val="en"/>
        </w:rPr>
        <w:t xml:space="preserve">. </w:t>
      </w:r>
      <w:proofErr w:type="gramStart"/>
      <w:r w:rsidRPr="004C2C77">
        <w:rPr>
          <w:rFonts w:ascii="Source Sans Pro" w:hAnsi="Source Sans Pro"/>
          <w:sz w:val="22"/>
          <w:szCs w:val="22"/>
          <w:lang w:val="en"/>
        </w:rPr>
        <w:t>SWD(</w:t>
      </w:r>
      <w:proofErr w:type="gramEnd"/>
      <w:r w:rsidRPr="004C2C77">
        <w:rPr>
          <w:rFonts w:ascii="Source Sans Pro" w:hAnsi="Source Sans Pro"/>
          <w:sz w:val="22"/>
          <w:szCs w:val="22"/>
          <w:lang w:val="en"/>
        </w:rPr>
        <w:t>2023) 112 final. Brussels.</w:t>
      </w:r>
    </w:p>
    <w:p w14:paraId="21A00CF1" w14:textId="77777777" w:rsidR="001320FE" w:rsidRPr="004C2C77" w:rsidRDefault="001320FE">
      <w:pPr>
        <w:pStyle w:val="ListParagraph"/>
        <w:numPr>
          <w:ilvl w:val="0"/>
          <w:numId w:val="12"/>
        </w:numPr>
        <w:jc w:val="both"/>
        <w:rPr>
          <w:rFonts w:ascii="Source Sans Pro" w:hAnsi="Source Sans Pro"/>
          <w:sz w:val="22"/>
          <w:szCs w:val="22"/>
          <w:lang w:val="en"/>
        </w:rPr>
      </w:pPr>
      <w:r w:rsidRPr="004C2C77">
        <w:rPr>
          <w:rFonts w:ascii="Source Sans Pro" w:hAnsi="Source Sans Pro"/>
          <w:sz w:val="22"/>
          <w:szCs w:val="22"/>
          <w:lang w:val="en"/>
        </w:rPr>
        <w:t xml:space="preserve">European Commission (2023b). </w:t>
      </w:r>
      <w:r w:rsidRPr="004C2C77">
        <w:rPr>
          <w:rFonts w:ascii="Source Sans Pro" w:hAnsi="Source Sans Pro"/>
          <w:i/>
          <w:sz w:val="22"/>
          <w:szCs w:val="22"/>
          <w:lang w:val="en"/>
        </w:rPr>
        <w:t>2023 Report on the state of the Digital Decade</w:t>
      </w:r>
      <w:r w:rsidRPr="004C2C77">
        <w:rPr>
          <w:rFonts w:ascii="Source Sans Pro" w:hAnsi="Source Sans Pro"/>
          <w:sz w:val="22"/>
          <w:szCs w:val="22"/>
          <w:lang w:val="en"/>
        </w:rPr>
        <w:t xml:space="preserve">. </w:t>
      </w:r>
      <w:proofErr w:type="gramStart"/>
      <w:r w:rsidRPr="004C2C77">
        <w:rPr>
          <w:rFonts w:ascii="Source Sans Pro" w:hAnsi="Source Sans Pro"/>
          <w:sz w:val="22"/>
          <w:szCs w:val="22"/>
          <w:lang w:val="en"/>
        </w:rPr>
        <w:t>COM(</w:t>
      </w:r>
      <w:proofErr w:type="gramEnd"/>
      <w:r w:rsidRPr="004C2C77">
        <w:rPr>
          <w:rFonts w:ascii="Source Sans Pro" w:hAnsi="Source Sans Pro"/>
          <w:sz w:val="22"/>
          <w:szCs w:val="22"/>
          <w:lang w:val="en"/>
        </w:rPr>
        <w:t>2023) 501 final. Brussels.</w:t>
      </w:r>
    </w:p>
    <w:p w14:paraId="141D3D84" w14:textId="77777777" w:rsidR="001320FE" w:rsidRPr="004C2C77" w:rsidRDefault="001320FE">
      <w:pPr>
        <w:pStyle w:val="ListParagraph"/>
        <w:numPr>
          <w:ilvl w:val="0"/>
          <w:numId w:val="12"/>
        </w:numPr>
        <w:jc w:val="both"/>
        <w:rPr>
          <w:rFonts w:ascii="Source Sans Pro" w:hAnsi="Source Sans Pro"/>
          <w:sz w:val="22"/>
          <w:szCs w:val="22"/>
          <w:lang w:val="en"/>
        </w:rPr>
      </w:pPr>
      <w:r w:rsidRPr="004C2C77">
        <w:rPr>
          <w:rFonts w:ascii="Source Sans Pro" w:hAnsi="Source Sans Pro"/>
          <w:sz w:val="22"/>
          <w:szCs w:val="22"/>
          <w:lang w:val="en"/>
        </w:rPr>
        <w:t xml:space="preserve">European Commission (2024). </w:t>
      </w:r>
      <w:r w:rsidRPr="004C2C77">
        <w:rPr>
          <w:rFonts w:ascii="Source Sans Pro" w:hAnsi="Source Sans Pro"/>
          <w:i/>
          <w:sz w:val="22"/>
          <w:szCs w:val="22"/>
          <w:lang w:val="en"/>
        </w:rPr>
        <w:t>Industry 5.0: A new industrial paradigm</w:t>
      </w:r>
      <w:r w:rsidRPr="004C2C77">
        <w:rPr>
          <w:rFonts w:ascii="Source Sans Pro" w:hAnsi="Source Sans Pro"/>
          <w:sz w:val="22"/>
          <w:szCs w:val="22"/>
          <w:lang w:val="en"/>
        </w:rPr>
        <w:t>. Retrieved from [https://research-and-innovation.ec.europa.eu/research-area/industrial-research-and-innovation/industry-50_en]</w:t>
      </w:r>
    </w:p>
    <w:p w14:paraId="40CD9AC3" w14:textId="77777777" w:rsidR="001320FE" w:rsidRPr="004C2C77" w:rsidRDefault="001320FE">
      <w:pPr>
        <w:pStyle w:val="ListParagraph"/>
        <w:numPr>
          <w:ilvl w:val="0"/>
          <w:numId w:val="12"/>
        </w:numPr>
        <w:jc w:val="both"/>
        <w:rPr>
          <w:rFonts w:ascii="Source Sans Pro" w:hAnsi="Source Sans Pro"/>
          <w:sz w:val="22"/>
          <w:szCs w:val="22"/>
          <w:lang w:val="en"/>
        </w:rPr>
      </w:pPr>
      <w:r w:rsidRPr="004C2C77">
        <w:rPr>
          <w:rFonts w:ascii="Source Sans Pro" w:hAnsi="Source Sans Pro"/>
          <w:sz w:val="22"/>
          <w:szCs w:val="22"/>
          <w:lang w:val="en"/>
        </w:rPr>
        <w:t xml:space="preserve">European Environment Agency (2023). </w:t>
      </w:r>
      <w:r w:rsidRPr="004C2C77">
        <w:rPr>
          <w:rFonts w:ascii="Source Sans Pro" w:hAnsi="Source Sans Pro"/>
          <w:i/>
          <w:sz w:val="22"/>
          <w:szCs w:val="22"/>
          <w:lang w:val="en"/>
        </w:rPr>
        <w:t>EEA Signals 2023: Europe's environment and climate challenges</w:t>
      </w:r>
      <w:r w:rsidRPr="004C2C77">
        <w:rPr>
          <w:rFonts w:ascii="Source Sans Pro" w:hAnsi="Source Sans Pro"/>
          <w:sz w:val="22"/>
          <w:szCs w:val="22"/>
          <w:lang w:val="en"/>
        </w:rPr>
        <w:t>. Copenhagen: EEA.</w:t>
      </w:r>
    </w:p>
    <w:p w14:paraId="2AB71251" w14:textId="77777777" w:rsidR="001320FE" w:rsidRPr="004C2C77" w:rsidRDefault="001320FE">
      <w:pPr>
        <w:pStyle w:val="ListParagraph"/>
        <w:numPr>
          <w:ilvl w:val="0"/>
          <w:numId w:val="12"/>
        </w:numPr>
        <w:jc w:val="both"/>
        <w:rPr>
          <w:rFonts w:ascii="Source Sans Pro" w:hAnsi="Source Sans Pro"/>
          <w:sz w:val="22"/>
          <w:szCs w:val="22"/>
          <w:lang w:val="en"/>
        </w:rPr>
      </w:pPr>
      <w:r w:rsidRPr="004C2C77">
        <w:rPr>
          <w:rFonts w:ascii="Source Sans Pro" w:hAnsi="Source Sans Pro"/>
          <w:sz w:val="22"/>
          <w:szCs w:val="22"/>
          <w:lang w:val="en"/>
        </w:rPr>
        <w:t xml:space="preserve">McKinsey &amp; Company (2022). </w:t>
      </w:r>
      <w:r w:rsidRPr="004C2C77">
        <w:rPr>
          <w:rFonts w:ascii="Source Sans Pro" w:hAnsi="Source Sans Pro"/>
          <w:i/>
          <w:sz w:val="22"/>
          <w:szCs w:val="22"/>
          <w:lang w:val="en"/>
        </w:rPr>
        <w:t>Industry 4.0: Reimagining manufacturing for the future</w:t>
      </w:r>
      <w:r w:rsidRPr="004C2C77">
        <w:rPr>
          <w:rFonts w:ascii="Source Sans Pro" w:hAnsi="Source Sans Pro"/>
          <w:sz w:val="22"/>
          <w:szCs w:val="22"/>
          <w:lang w:val="en"/>
        </w:rPr>
        <w:t>. Retrieved from https://www.google.com/search?q=https://www.mckinsey.com/capabilities/operations/our-insights/industry-4-0-reimagining-manufacturing-for-the-future</w:t>
      </w:r>
    </w:p>
    <w:p w14:paraId="4C468158" w14:textId="77777777" w:rsidR="001320FE" w:rsidRPr="004C2C77" w:rsidRDefault="001320FE">
      <w:pPr>
        <w:pStyle w:val="ListParagraph"/>
        <w:numPr>
          <w:ilvl w:val="0"/>
          <w:numId w:val="12"/>
        </w:numPr>
        <w:jc w:val="both"/>
        <w:rPr>
          <w:rFonts w:ascii="Source Sans Pro" w:hAnsi="Source Sans Pro"/>
          <w:sz w:val="22"/>
          <w:szCs w:val="22"/>
          <w:lang w:val="en"/>
        </w:rPr>
      </w:pPr>
      <w:proofErr w:type="spellStart"/>
      <w:r w:rsidRPr="004C2C77">
        <w:rPr>
          <w:rFonts w:ascii="Source Sans Pro" w:hAnsi="Source Sans Pro"/>
          <w:sz w:val="22"/>
          <w:szCs w:val="22"/>
          <w:lang w:val="en"/>
        </w:rPr>
        <w:t>PreVEnT</w:t>
      </w:r>
      <w:proofErr w:type="spellEnd"/>
      <w:r w:rsidRPr="004C2C77">
        <w:rPr>
          <w:rFonts w:ascii="Source Sans Pro" w:hAnsi="Source Sans Pro"/>
          <w:sz w:val="22"/>
          <w:szCs w:val="22"/>
          <w:lang w:val="en"/>
        </w:rPr>
        <w:t xml:space="preserve"> Consortium (2025). </w:t>
      </w:r>
      <w:r w:rsidRPr="004C2C77">
        <w:rPr>
          <w:rFonts w:ascii="Source Sans Pro" w:hAnsi="Source Sans Pro"/>
          <w:i/>
          <w:sz w:val="22"/>
          <w:szCs w:val="22"/>
          <w:lang w:val="en"/>
        </w:rPr>
        <w:t>Final Project &amp; Impact Evaluation Report (Deliverable D6.2)</w:t>
      </w:r>
      <w:r w:rsidRPr="004C2C77">
        <w:rPr>
          <w:rFonts w:ascii="Source Sans Pro" w:hAnsi="Source Sans Pro"/>
          <w:sz w:val="22"/>
          <w:szCs w:val="22"/>
          <w:lang w:val="en"/>
        </w:rPr>
        <w:t xml:space="preserve">. Erasmus+ </w:t>
      </w:r>
      <w:proofErr w:type="spellStart"/>
      <w:r w:rsidRPr="004C2C77">
        <w:rPr>
          <w:rFonts w:ascii="Source Sans Pro" w:hAnsi="Source Sans Pro"/>
          <w:sz w:val="22"/>
          <w:szCs w:val="22"/>
          <w:lang w:val="en"/>
        </w:rPr>
        <w:t>Programme</w:t>
      </w:r>
      <w:proofErr w:type="spellEnd"/>
      <w:r w:rsidRPr="004C2C77">
        <w:rPr>
          <w:rFonts w:ascii="Source Sans Pro" w:hAnsi="Source Sans Pro"/>
          <w:sz w:val="22"/>
          <w:szCs w:val="22"/>
          <w:lang w:val="en"/>
        </w:rPr>
        <w:t>. Retrieved from https://www.google.com/search?q=https://deeptechprevent.eu/results/D6.2</w:t>
      </w:r>
    </w:p>
    <w:p w14:paraId="47DCF797" w14:textId="77777777" w:rsidR="001320FE" w:rsidRPr="004C2C77" w:rsidRDefault="001320FE">
      <w:pPr>
        <w:pStyle w:val="ListParagraph"/>
        <w:numPr>
          <w:ilvl w:val="0"/>
          <w:numId w:val="12"/>
        </w:numPr>
        <w:jc w:val="both"/>
        <w:rPr>
          <w:rFonts w:ascii="Source Sans Pro" w:hAnsi="Source Sans Pro"/>
          <w:sz w:val="22"/>
          <w:szCs w:val="22"/>
          <w:lang w:val="en"/>
        </w:rPr>
      </w:pPr>
      <w:r w:rsidRPr="004C2C77">
        <w:rPr>
          <w:rFonts w:ascii="Source Sans Pro" w:hAnsi="Source Sans Pro"/>
          <w:sz w:val="22"/>
          <w:szCs w:val="22"/>
          <w:lang w:val="en"/>
        </w:rPr>
        <w:t xml:space="preserve">Regulation (EU) 2024/1789. </w:t>
      </w:r>
      <w:proofErr w:type="spellStart"/>
      <w:r w:rsidRPr="004C2C77">
        <w:rPr>
          <w:rFonts w:ascii="Source Sans Pro" w:hAnsi="Source Sans Pro"/>
          <w:i/>
          <w:sz w:val="22"/>
          <w:szCs w:val="22"/>
          <w:lang w:val="en"/>
        </w:rPr>
        <w:t>Ecodesign</w:t>
      </w:r>
      <w:proofErr w:type="spellEnd"/>
      <w:r w:rsidRPr="004C2C77">
        <w:rPr>
          <w:rFonts w:ascii="Source Sans Pro" w:hAnsi="Source Sans Pro"/>
          <w:i/>
          <w:sz w:val="22"/>
          <w:szCs w:val="22"/>
          <w:lang w:val="en"/>
        </w:rPr>
        <w:t xml:space="preserve"> for Sustainable Products Regulation (ESPR)</w:t>
      </w:r>
      <w:r w:rsidRPr="004C2C77">
        <w:rPr>
          <w:rFonts w:ascii="Source Sans Pro" w:hAnsi="Source Sans Pro"/>
          <w:sz w:val="22"/>
          <w:szCs w:val="22"/>
          <w:lang w:val="en"/>
        </w:rPr>
        <w:t>. Official Journal of the European Union</w:t>
      </w:r>
    </w:p>
    <w:p w14:paraId="031347E8" w14:textId="77777777" w:rsidR="001320FE" w:rsidRPr="001320FE" w:rsidRDefault="001320FE" w:rsidP="001320FE">
      <w:pPr>
        <w:jc w:val="both"/>
        <w:rPr>
          <w:lang w:val="en"/>
        </w:rPr>
      </w:pPr>
    </w:p>
    <w:p w14:paraId="7BF7524D" w14:textId="77777777" w:rsidR="00E57893" w:rsidRPr="001320FE" w:rsidRDefault="00E57893" w:rsidP="001320FE">
      <w:pPr>
        <w:jc w:val="both"/>
      </w:pPr>
    </w:p>
    <w:sectPr w:rsidR="00E57893" w:rsidRPr="001320FE" w:rsidSect="00485259">
      <w:headerReference w:type="default" r:id="rId9"/>
      <w:footerReference w:type="even" r:id="rId10"/>
      <w:footerReference w:type="default" r:id="rId11"/>
      <w:headerReference w:type="first" r:id="rId12"/>
      <w:footerReference w:type="first" r:id="rId13"/>
      <w:pgSz w:w="11906" w:h="16838"/>
      <w:pgMar w:top="1440" w:right="1440" w:bottom="1440" w:left="1440"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D5702" w14:textId="77777777" w:rsidR="008F7A82" w:rsidRDefault="008F7A82" w:rsidP="00D60BC0">
      <w:r>
        <w:separator/>
      </w:r>
    </w:p>
  </w:endnote>
  <w:endnote w:type="continuationSeparator" w:id="0">
    <w:p w14:paraId="330A1D73" w14:textId="77777777" w:rsidR="008F7A82" w:rsidRDefault="008F7A82" w:rsidP="00D60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3458887"/>
      <w:docPartObj>
        <w:docPartGallery w:val="Page Numbers (Bottom of Page)"/>
        <w:docPartUnique/>
      </w:docPartObj>
    </w:sdtPr>
    <w:sdtContent>
      <w:p w14:paraId="634D4434" w14:textId="4622F2F4" w:rsidR="00444530" w:rsidRDefault="00444530" w:rsidP="00E73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4683EC" w14:textId="77777777" w:rsidR="00444530" w:rsidRDefault="00444530" w:rsidP="004445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color w:val="808080" w:themeColor="background1" w:themeShade="80"/>
      </w:rPr>
      <w:id w:val="-738479589"/>
      <w:docPartObj>
        <w:docPartGallery w:val="Page Numbers (Bottom of Page)"/>
        <w:docPartUnique/>
      </w:docPartObj>
    </w:sdtPr>
    <w:sdtContent>
      <w:p w14:paraId="2DBBE51D" w14:textId="1D665B04" w:rsidR="00444530" w:rsidRPr="00D14EC7" w:rsidRDefault="00444530" w:rsidP="00E73DBE">
        <w:pPr>
          <w:pStyle w:val="Footer"/>
          <w:framePr w:wrap="none" w:vAnchor="text" w:hAnchor="margin" w:xAlign="right" w:y="1"/>
          <w:rPr>
            <w:rStyle w:val="PageNumber"/>
            <w:rFonts w:ascii="Times New Roman" w:hAnsi="Times New Roman" w:cs="Times New Roman"/>
            <w:color w:val="808080" w:themeColor="background1" w:themeShade="80"/>
          </w:rPr>
        </w:pPr>
        <w:r w:rsidRPr="00D14EC7">
          <w:rPr>
            <w:rStyle w:val="PageNumber"/>
            <w:rFonts w:ascii="Times New Roman" w:hAnsi="Times New Roman" w:cs="Times New Roman"/>
            <w:color w:val="808080" w:themeColor="background1" w:themeShade="80"/>
          </w:rPr>
          <w:fldChar w:fldCharType="begin"/>
        </w:r>
        <w:r w:rsidRPr="00D14EC7">
          <w:rPr>
            <w:rStyle w:val="PageNumber"/>
            <w:rFonts w:ascii="Times New Roman" w:hAnsi="Times New Roman" w:cs="Times New Roman"/>
            <w:color w:val="808080" w:themeColor="background1" w:themeShade="80"/>
          </w:rPr>
          <w:instrText xml:space="preserve"> PAGE </w:instrText>
        </w:r>
        <w:r w:rsidRPr="00D14EC7">
          <w:rPr>
            <w:rStyle w:val="PageNumber"/>
            <w:rFonts w:ascii="Times New Roman" w:hAnsi="Times New Roman" w:cs="Times New Roman"/>
            <w:color w:val="808080" w:themeColor="background1" w:themeShade="80"/>
          </w:rPr>
          <w:fldChar w:fldCharType="separate"/>
        </w:r>
        <w:r w:rsidRPr="00D14EC7">
          <w:rPr>
            <w:rStyle w:val="PageNumber"/>
            <w:rFonts w:ascii="Times New Roman" w:hAnsi="Times New Roman" w:cs="Times New Roman"/>
            <w:noProof/>
            <w:color w:val="808080" w:themeColor="background1" w:themeShade="80"/>
          </w:rPr>
          <w:t>1</w:t>
        </w:r>
        <w:r w:rsidRPr="00D14EC7">
          <w:rPr>
            <w:rStyle w:val="PageNumber"/>
            <w:rFonts w:ascii="Times New Roman" w:hAnsi="Times New Roman" w:cs="Times New Roman"/>
            <w:color w:val="808080" w:themeColor="background1" w:themeShade="80"/>
          </w:rPr>
          <w:fldChar w:fldCharType="end"/>
        </w:r>
      </w:p>
    </w:sdtContent>
  </w:sdt>
  <w:p w14:paraId="09CFA83D" w14:textId="701F8466" w:rsidR="00444530" w:rsidRPr="00D14EC7" w:rsidRDefault="00444530" w:rsidP="00444530">
    <w:pPr>
      <w:pStyle w:val="Footer"/>
      <w:ind w:right="360"/>
      <w:rPr>
        <w:rFonts w:ascii="Times New Roman" w:hAnsi="Times New Roman" w:cs="Times New Roman"/>
        <w:color w:val="808080" w:themeColor="background1" w:themeShade="80"/>
        <w:sz w:val="20"/>
        <w:szCs w:val="20"/>
      </w:rPr>
    </w:pPr>
    <w:r w:rsidRPr="00D14EC7">
      <w:rPr>
        <w:rFonts w:ascii="Times New Roman" w:hAnsi="Times New Roman" w:cs="Times New Roman"/>
        <w:color w:val="808080" w:themeColor="background1" w:themeShade="80"/>
        <w:sz w:val="20"/>
        <w:szCs w:val="20"/>
      </w:rPr>
      <w:t>Project Ref.: 2023-1-RO01-KA220-VET-00015105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ACDDE" w14:textId="77777777" w:rsidR="00CD0059" w:rsidRPr="00D14EC7" w:rsidRDefault="00CD0059" w:rsidP="00CD0059">
    <w:pPr>
      <w:pStyle w:val="Footer"/>
      <w:ind w:right="360"/>
      <w:rPr>
        <w:rFonts w:ascii="Times New Roman" w:hAnsi="Times New Roman" w:cs="Times New Roman"/>
        <w:color w:val="808080" w:themeColor="background1" w:themeShade="80"/>
        <w:sz w:val="20"/>
        <w:szCs w:val="20"/>
      </w:rPr>
    </w:pPr>
    <w:r w:rsidRPr="00D14EC7">
      <w:rPr>
        <w:rFonts w:ascii="Times New Roman" w:hAnsi="Times New Roman" w:cs="Times New Roman"/>
        <w:color w:val="808080" w:themeColor="background1" w:themeShade="80"/>
        <w:sz w:val="20"/>
        <w:szCs w:val="20"/>
      </w:rPr>
      <w:t>Project Ref.: 2023-1-RO01-KA220-VET-00015105</w:t>
    </w:r>
  </w:p>
  <w:p w14:paraId="3847C653" w14:textId="77777777" w:rsidR="00CD0059" w:rsidRDefault="00CD0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4E18C" w14:textId="77777777" w:rsidR="008F7A82" w:rsidRDefault="008F7A82" w:rsidP="00D60BC0">
      <w:r>
        <w:separator/>
      </w:r>
    </w:p>
  </w:footnote>
  <w:footnote w:type="continuationSeparator" w:id="0">
    <w:p w14:paraId="13705F27" w14:textId="77777777" w:rsidR="008F7A82" w:rsidRDefault="008F7A82" w:rsidP="00D60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FB2DF" w14:textId="0C10C2FA" w:rsidR="00444530" w:rsidRDefault="00444530">
    <w:pPr>
      <w:pStyle w:val="Header"/>
    </w:pPr>
    <w:r>
      <w:rPr>
        <w:noProof/>
      </w:rPr>
      <w:drawing>
        <wp:anchor distT="0" distB="0" distL="114300" distR="114300" simplePos="0" relativeHeight="251660288" behindDoc="0" locked="0" layoutInCell="1" allowOverlap="1" wp14:anchorId="7A14B693" wp14:editId="6E323C31">
          <wp:simplePos x="0" y="0"/>
          <wp:positionH relativeFrom="margin">
            <wp:align>left</wp:align>
          </wp:positionH>
          <wp:positionV relativeFrom="paragraph">
            <wp:posOffset>181398</wp:posOffset>
          </wp:positionV>
          <wp:extent cx="1913467" cy="418054"/>
          <wp:effectExtent l="0" t="0" r="0" b="0"/>
          <wp:wrapThrough wrapText="bothSides">
            <wp:wrapPolygon edited="0">
              <wp:start x="3584" y="1313"/>
              <wp:lineTo x="1434" y="2626"/>
              <wp:lineTo x="0" y="6565"/>
              <wp:lineTo x="143" y="15757"/>
              <wp:lineTo x="1434" y="17726"/>
              <wp:lineTo x="3584" y="19040"/>
              <wp:lineTo x="20503" y="19040"/>
              <wp:lineTo x="20503" y="13131"/>
              <wp:lineTo x="21220" y="4596"/>
              <wp:lineTo x="21077" y="1313"/>
              <wp:lineTo x="3584" y="1313"/>
            </wp:wrapPolygon>
          </wp:wrapThrough>
          <wp:docPr id="127722" name="Picture 3" descr="A yellow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2" name="Picture 3" descr="A yellow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3467" cy="418054"/>
                  </a:xfrm>
                  <a:prstGeom prst="rect">
                    <a:avLst/>
                  </a:prstGeom>
                </pic:spPr>
              </pic:pic>
            </a:graphicData>
          </a:graphic>
          <wp14:sizeRelH relativeFrom="page">
            <wp14:pctWidth>0</wp14:pctWidth>
          </wp14:sizeRelH>
          <wp14:sizeRelV relativeFrom="page">
            <wp14:pctHeight>0</wp14:pctHeight>
          </wp14:sizeRelV>
        </wp:anchor>
      </w:drawing>
    </w:r>
    <w:r w:rsidRPr="00D60BC0">
      <w:rPr>
        <w:noProof/>
        <w:sz w:val="18"/>
        <w:szCs w:val="18"/>
      </w:rPr>
      <w:drawing>
        <wp:anchor distT="0" distB="0" distL="114300" distR="114300" simplePos="0" relativeHeight="251659264" behindDoc="0" locked="0" layoutInCell="1" allowOverlap="1" wp14:anchorId="06D49AFA" wp14:editId="5E5557E6">
          <wp:simplePos x="0" y="0"/>
          <wp:positionH relativeFrom="margin">
            <wp:align>right</wp:align>
          </wp:positionH>
          <wp:positionV relativeFrom="paragraph">
            <wp:posOffset>185420</wp:posOffset>
          </wp:positionV>
          <wp:extent cx="1835785" cy="384810"/>
          <wp:effectExtent l="0" t="0" r="5715" b="0"/>
          <wp:wrapTopAndBottom/>
          <wp:docPr id="2135260366" name="Picture 213526036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9250" name="Picture 2"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35785" cy="3848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9158E" w14:textId="3A7DFC96" w:rsidR="000B7B68" w:rsidRDefault="000B7B68">
    <w:pPr>
      <w:pStyle w:val="Header"/>
    </w:pPr>
    <w:r w:rsidRPr="00D60BC0">
      <w:rPr>
        <w:noProof/>
        <w:sz w:val="18"/>
        <w:szCs w:val="18"/>
      </w:rPr>
      <w:drawing>
        <wp:anchor distT="0" distB="0" distL="114300" distR="114300" simplePos="0" relativeHeight="251664384" behindDoc="0" locked="0" layoutInCell="1" allowOverlap="1" wp14:anchorId="0E4FCDC1" wp14:editId="0149D4F5">
          <wp:simplePos x="0" y="0"/>
          <wp:positionH relativeFrom="margin">
            <wp:align>right</wp:align>
          </wp:positionH>
          <wp:positionV relativeFrom="paragraph">
            <wp:posOffset>-85513</wp:posOffset>
          </wp:positionV>
          <wp:extent cx="1835785" cy="384810"/>
          <wp:effectExtent l="0" t="0" r="5715" b="0"/>
          <wp:wrapTopAndBottom/>
          <wp:docPr id="42338409" name="Picture 4233840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9250"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35785" cy="384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FA8D7C4" wp14:editId="1190AC25">
          <wp:simplePos x="0" y="0"/>
          <wp:positionH relativeFrom="margin">
            <wp:align>left</wp:align>
          </wp:positionH>
          <wp:positionV relativeFrom="paragraph">
            <wp:posOffset>-85513</wp:posOffset>
          </wp:positionV>
          <wp:extent cx="1913467" cy="418054"/>
          <wp:effectExtent l="0" t="0" r="0" b="0"/>
          <wp:wrapThrough wrapText="bothSides">
            <wp:wrapPolygon edited="0">
              <wp:start x="3584" y="1313"/>
              <wp:lineTo x="1434" y="2626"/>
              <wp:lineTo x="0" y="6565"/>
              <wp:lineTo x="143" y="15757"/>
              <wp:lineTo x="1434" y="17726"/>
              <wp:lineTo x="3584" y="19040"/>
              <wp:lineTo x="20503" y="19040"/>
              <wp:lineTo x="20503" y="13131"/>
              <wp:lineTo x="21220" y="4596"/>
              <wp:lineTo x="21077" y="1313"/>
              <wp:lineTo x="3584" y="1313"/>
            </wp:wrapPolygon>
          </wp:wrapThrough>
          <wp:docPr id="143638176" name="Picture 143638176" descr="A yellow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2" name="Picture 3" descr="A yellow letter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13467" cy="4180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6297B"/>
    <w:multiLevelType w:val="hybridMultilevel"/>
    <w:tmpl w:val="240AE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834C54"/>
    <w:multiLevelType w:val="multilevel"/>
    <w:tmpl w:val="DF28AE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22733F44"/>
    <w:multiLevelType w:val="multilevel"/>
    <w:tmpl w:val="8452DA6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22986B83"/>
    <w:multiLevelType w:val="multilevel"/>
    <w:tmpl w:val="8BCECF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2454563C"/>
    <w:multiLevelType w:val="multilevel"/>
    <w:tmpl w:val="17A460B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5" w15:restartNumberingAfterBreak="0">
    <w:nsid w:val="2DB838D8"/>
    <w:multiLevelType w:val="multilevel"/>
    <w:tmpl w:val="D8AE1F9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3B71227C"/>
    <w:multiLevelType w:val="multilevel"/>
    <w:tmpl w:val="CAA6DD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54F62510"/>
    <w:multiLevelType w:val="multilevel"/>
    <w:tmpl w:val="38FECEF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58C36809"/>
    <w:multiLevelType w:val="multilevel"/>
    <w:tmpl w:val="E536FB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5B0D43FD"/>
    <w:multiLevelType w:val="multilevel"/>
    <w:tmpl w:val="1408D5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5C2F49FF"/>
    <w:multiLevelType w:val="multilevel"/>
    <w:tmpl w:val="FAA8B8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5F0C24E8"/>
    <w:multiLevelType w:val="multilevel"/>
    <w:tmpl w:val="37FC38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62FE026F"/>
    <w:multiLevelType w:val="hybridMultilevel"/>
    <w:tmpl w:val="18A00A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39723">
    <w:abstractNumId w:val="10"/>
    <w:lvlOverride w:ilvl="0"/>
    <w:lvlOverride w:ilvl="1"/>
    <w:lvlOverride w:ilvl="2"/>
    <w:lvlOverride w:ilvl="3"/>
    <w:lvlOverride w:ilvl="4"/>
    <w:lvlOverride w:ilvl="5"/>
    <w:lvlOverride w:ilvl="6"/>
    <w:lvlOverride w:ilvl="7"/>
    <w:lvlOverride w:ilvl="8"/>
  </w:num>
  <w:num w:numId="2" w16cid:durableId="15637565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7274540">
    <w:abstractNumId w:val="7"/>
    <w:lvlOverride w:ilvl="0"/>
    <w:lvlOverride w:ilvl="1"/>
    <w:lvlOverride w:ilvl="2"/>
    <w:lvlOverride w:ilvl="3"/>
    <w:lvlOverride w:ilvl="4"/>
    <w:lvlOverride w:ilvl="5"/>
    <w:lvlOverride w:ilvl="6"/>
    <w:lvlOverride w:ilvl="7"/>
    <w:lvlOverride w:ilvl="8"/>
  </w:num>
  <w:num w:numId="4" w16cid:durableId="2107382847">
    <w:abstractNumId w:val="1"/>
    <w:lvlOverride w:ilvl="0"/>
    <w:lvlOverride w:ilvl="1"/>
    <w:lvlOverride w:ilvl="2"/>
    <w:lvlOverride w:ilvl="3"/>
    <w:lvlOverride w:ilvl="4"/>
    <w:lvlOverride w:ilvl="5"/>
    <w:lvlOverride w:ilvl="6"/>
    <w:lvlOverride w:ilvl="7"/>
    <w:lvlOverride w:ilvl="8"/>
  </w:num>
  <w:num w:numId="5" w16cid:durableId="1965699161">
    <w:abstractNumId w:val="9"/>
    <w:lvlOverride w:ilvl="0"/>
    <w:lvlOverride w:ilvl="1"/>
    <w:lvlOverride w:ilvl="2"/>
    <w:lvlOverride w:ilvl="3"/>
    <w:lvlOverride w:ilvl="4"/>
    <w:lvlOverride w:ilvl="5"/>
    <w:lvlOverride w:ilvl="6"/>
    <w:lvlOverride w:ilvl="7"/>
    <w:lvlOverride w:ilvl="8"/>
  </w:num>
  <w:num w:numId="6" w16cid:durableId="199440041">
    <w:abstractNumId w:val="6"/>
    <w:lvlOverride w:ilvl="0"/>
    <w:lvlOverride w:ilvl="1"/>
    <w:lvlOverride w:ilvl="2"/>
    <w:lvlOverride w:ilvl="3"/>
    <w:lvlOverride w:ilvl="4"/>
    <w:lvlOverride w:ilvl="5"/>
    <w:lvlOverride w:ilvl="6"/>
    <w:lvlOverride w:ilvl="7"/>
    <w:lvlOverride w:ilvl="8"/>
  </w:num>
  <w:num w:numId="7" w16cid:durableId="159975564">
    <w:abstractNumId w:val="3"/>
    <w:lvlOverride w:ilvl="0"/>
    <w:lvlOverride w:ilvl="1"/>
    <w:lvlOverride w:ilvl="2"/>
    <w:lvlOverride w:ilvl="3"/>
    <w:lvlOverride w:ilvl="4"/>
    <w:lvlOverride w:ilvl="5"/>
    <w:lvlOverride w:ilvl="6"/>
    <w:lvlOverride w:ilvl="7"/>
    <w:lvlOverride w:ilvl="8"/>
  </w:num>
  <w:num w:numId="8" w16cid:durableId="1871138551">
    <w:abstractNumId w:val="11"/>
    <w:lvlOverride w:ilvl="0"/>
    <w:lvlOverride w:ilvl="1"/>
    <w:lvlOverride w:ilvl="2"/>
    <w:lvlOverride w:ilvl="3"/>
    <w:lvlOverride w:ilvl="4"/>
    <w:lvlOverride w:ilvl="5"/>
    <w:lvlOverride w:ilvl="6"/>
    <w:lvlOverride w:ilvl="7"/>
    <w:lvlOverride w:ilvl="8"/>
  </w:num>
  <w:num w:numId="9" w16cid:durableId="1209880301">
    <w:abstractNumId w:val="8"/>
    <w:lvlOverride w:ilvl="0"/>
    <w:lvlOverride w:ilvl="1"/>
    <w:lvlOverride w:ilvl="2"/>
    <w:lvlOverride w:ilvl="3"/>
    <w:lvlOverride w:ilvl="4"/>
    <w:lvlOverride w:ilvl="5"/>
    <w:lvlOverride w:ilvl="6"/>
    <w:lvlOverride w:ilvl="7"/>
    <w:lvlOverride w:ilvl="8"/>
  </w:num>
  <w:num w:numId="10" w16cid:durableId="417143206">
    <w:abstractNumId w:val="5"/>
    <w:lvlOverride w:ilvl="0"/>
    <w:lvlOverride w:ilvl="1"/>
    <w:lvlOverride w:ilvl="2"/>
    <w:lvlOverride w:ilvl="3"/>
    <w:lvlOverride w:ilvl="4"/>
    <w:lvlOverride w:ilvl="5"/>
    <w:lvlOverride w:ilvl="6"/>
    <w:lvlOverride w:ilvl="7"/>
    <w:lvlOverride w:ilvl="8"/>
  </w:num>
  <w:num w:numId="11" w16cid:durableId="1671450200">
    <w:abstractNumId w:val="2"/>
    <w:lvlOverride w:ilvl="0"/>
    <w:lvlOverride w:ilvl="1"/>
    <w:lvlOverride w:ilvl="2"/>
    <w:lvlOverride w:ilvl="3"/>
    <w:lvlOverride w:ilvl="4"/>
    <w:lvlOverride w:ilvl="5"/>
    <w:lvlOverride w:ilvl="6"/>
    <w:lvlOverride w:ilvl="7"/>
    <w:lvlOverride w:ilvl="8"/>
  </w:num>
  <w:num w:numId="12" w16cid:durableId="816143842">
    <w:abstractNumId w:val="12"/>
  </w:num>
  <w:num w:numId="13" w16cid:durableId="14720972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BC0"/>
    <w:rsid w:val="000239DC"/>
    <w:rsid w:val="00092350"/>
    <w:rsid w:val="000B7B68"/>
    <w:rsid w:val="000C069B"/>
    <w:rsid w:val="000C64A1"/>
    <w:rsid w:val="000E7386"/>
    <w:rsid w:val="001320FE"/>
    <w:rsid w:val="00162840"/>
    <w:rsid w:val="001A104A"/>
    <w:rsid w:val="001B6370"/>
    <w:rsid w:val="001E097F"/>
    <w:rsid w:val="00244309"/>
    <w:rsid w:val="00290645"/>
    <w:rsid w:val="002E2FA0"/>
    <w:rsid w:val="002F5687"/>
    <w:rsid w:val="00335BC0"/>
    <w:rsid w:val="00343F5D"/>
    <w:rsid w:val="003E5EAD"/>
    <w:rsid w:val="00431DA6"/>
    <w:rsid w:val="00444530"/>
    <w:rsid w:val="00447633"/>
    <w:rsid w:val="00485259"/>
    <w:rsid w:val="004B0006"/>
    <w:rsid w:val="004C2C77"/>
    <w:rsid w:val="005242D8"/>
    <w:rsid w:val="00533F6E"/>
    <w:rsid w:val="00596830"/>
    <w:rsid w:val="005B481D"/>
    <w:rsid w:val="005C7C7E"/>
    <w:rsid w:val="005D3493"/>
    <w:rsid w:val="00683DBA"/>
    <w:rsid w:val="006D0A0C"/>
    <w:rsid w:val="007D5845"/>
    <w:rsid w:val="007E18E5"/>
    <w:rsid w:val="007F0D1A"/>
    <w:rsid w:val="00820049"/>
    <w:rsid w:val="008F7A82"/>
    <w:rsid w:val="00903DB1"/>
    <w:rsid w:val="00955D26"/>
    <w:rsid w:val="009732F8"/>
    <w:rsid w:val="00977AF2"/>
    <w:rsid w:val="009D56AD"/>
    <w:rsid w:val="00AB7CAA"/>
    <w:rsid w:val="00B41B2C"/>
    <w:rsid w:val="00B45748"/>
    <w:rsid w:val="00B708E3"/>
    <w:rsid w:val="00B91FF4"/>
    <w:rsid w:val="00BF5BE6"/>
    <w:rsid w:val="00BF5D08"/>
    <w:rsid w:val="00C714B8"/>
    <w:rsid w:val="00C7203C"/>
    <w:rsid w:val="00C74B22"/>
    <w:rsid w:val="00CD0059"/>
    <w:rsid w:val="00CD4B28"/>
    <w:rsid w:val="00D02491"/>
    <w:rsid w:val="00D06806"/>
    <w:rsid w:val="00D14EC7"/>
    <w:rsid w:val="00D60BC0"/>
    <w:rsid w:val="00E33D25"/>
    <w:rsid w:val="00E521D5"/>
    <w:rsid w:val="00E57893"/>
    <w:rsid w:val="00E6166E"/>
    <w:rsid w:val="00E61A92"/>
    <w:rsid w:val="00E76226"/>
    <w:rsid w:val="00E762EB"/>
    <w:rsid w:val="00E84357"/>
    <w:rsid w:val="00E9162E"/>
    <w:rsid w:val="00EB080D"/>
    <w:rsid w:val="00EE35E3"/>
    <w:rsid w:val="00F17B51"/>
    <w:rsid w:val="00F20B4F"/>
    <w:rsid w:val="00F42384"/>
    <w:rsid w:val="00F84DCA"/>
    <w:rsid w:val="00F86DDD"/>
    <w:rsid w:val="00F93A26"/>
    <w:rsid w:val="00FA2E5C"/>
    <w:rsid w:val="00FD73CC"/>
    <w:rsid w:val="00FF3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98ABF"/>
  <w15:chartTrackingRefBased/>
  <w15:docId w15:val="{7665F6C1-426B-B440-AAE7-DA70AD804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E5C"/>
    <w:rPr>
      <w:rFonts w:ascii="Calibri" w:eastAsia="Calibri" w:hAnsi="Calibri" w:cs="Arial"/>
      <w:kern w:val="0"/>
      <w:sz w:val="20"/>
      <w:szCs w:val="20"/>
      <w:lang w:val="en-US"/>
      <w14:ligatures w14:val="none"/>
    </w:rPr>
  </w:style>
  <w:style w:type="paragraph" w:styleId="Heading1">
    <w:name w:val="heading 1"/>
    <w:basedOn w:val="Normal"/>
    <w:next w:val="Normal"/>
    <w:link w:val="Heading1Char"/>
    <w:uiPriority w:val="9"/>
    <w:qFormat/>
    <w:rsid w:val="00CD00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43F5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43F5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BC0"/>
    <w:pPr>
      <w:tabs>
        <w:tab w:val="center" w:pos="4513"/>
        <w:tab w:val="right" w:pos="9026"/>
      </w:tabs>
    </w:pPr>
    <w:rPr>
      <w:rFonts w:asciiTheme="minorHAnsi" w:eastAsiaTheme="minorHAnsi" w:hAnsiTheme="minorHAnsi" w:cstheme="minorBidi"/>
      <w:kern w:val="2"/>
      <w:sz w:val="24"/>
      <w:szCs w:val="24"/>
      <w14:ligatures w14:val="standardContextual"/>
    </w:rPr>
  </w:style>
  <w:style w:type="character" w:customStyle="1" w:styleId="HeaderChar">
    <w:name w:val="Header Char"/>
    <w:basedOn w:val="DefaultParagraphFont"/>
    <w:link w:val="Header"/>
    <w:uiPriority w:val="99"/>
    <w:rsid w:val="00D60BC0"/>
  </w:style>
  <w:style w:type="paragraph" w:styleId="Footer">
    <w:name w:val="footer"/>
    <w:basedOn w:val="Normal"/>
    <w:link w:val="FooterChar"/>
    <w:uiPriority w:val="99"/>
    <w:unhideWhenUsed/>
    <w:rsid w:val="00D60BC0"/>
    <w:pPr>
      <w:tabs>
        <w:tab w:val="center" w:pos="4513"/>
        <w:tab w:val="right" w:pos="9026"/>
      </w:tabs>
    </w:pPr>
    <w:rPr>
      <w:rFonts w:asciiTheme="minorHAnsi" w:eastAsiaTheme="minorHAnsi" w:hAnsiTheme="minorHAnsi" w:cstheme="minorBidi"/>
      <w:kern w:val="2"/>
      <w:sz w:val="24"/>
      <w:szCs w:val="24"/>
      <w14:ligatures w14:val="standardContextual"/>
    </w:rPr>
  </w:style>
  <w:style w:type="character" w:customStyle="1" w:styleId="FooterChar">
    <w:name w:val="Footer Char"/>
    <w:basedOn w:val="DefaultParagraphFont"/>
    <w:link w:val="Footer"/>
    <w:uiPriority w:val="99"/>
    <w:rsid w:val="00D60BC0"/>
  </w:style>
  <w:style w:type="character" w:styleId="PageNumber">
    <w:name w:val="page number"/>
    <w:basedOn w:val="DefaultParagraphFont"/>
    <w:uiPriority w:val="99"/>
    <w:semiHidden/>
    <w:unhideWhenUsed/>
    <w:rsid w:val="00444530"/>
  </w:style>
  <w:style w:type="paragraph" w:styleId="Title">
    <w:name w:val="Title"/>
    <w:basedOn w:val="Normal"/>
    <w:next w:val="Normal"/>
    <w:link w:val="TitleChar"/>
    <w:uiPriority w:val="10"/>
    <w:qFormat/>
    <w:rsid w:val="00CD005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059"/>
    <w:rPr>
      <w:rFonts w:asciiTheme="majorHAnsi" w:eastAsiaTheme="majorEastAsia" w:hAnsiTheme="majorHAnsi" w:cstheme="majorBidi"/>
      <w:spacing w:val="-10"/>
      <w:kern w:val="28"/>
      <w:sz w:val="56"/>
      <w:szCs w:val="56"/>
      <w:lang w:val="en-US"/>
      <w14:ligatures w14:val="none"/>
    </w:rPr>
  </w:style>
  <w:style w:type="paragraph" w:styleId="Subtitle">
    <w:name w:val="Subtitle"/>
    <w:basedOn w:val="Normal"/>
    <w:next w:val="Normal"/>
    <w:link w:val="SubtitleChar"/>
    <w:uiPriority w:val="11"/>
    <w:qFormat/>
    <w:rsid w:val="00CD005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D0059"/>
    <w:rPr>
      <w:rFonts w:eastAsiaTheme="minorEastAsia"/>
      <w:color w:val="5A5A5A" w:themeColor="text1" w:themeTint="A5"/>
      <w:spacing w:val="15"/>
      <w:kern w:val="0"/>
      <w:sz w:val="22"/>
      <w:szCs w:val="22"/>
      <w:lang w:val="en-US"/>
      <w14:ligatures w14:val="none"/>
    </w:rPr>
  </w:style>
  <w:style w:type="paragraph" w:styleId="TOC1">
    <w:name w:val="toc 1"/>
    <w:basedOn w:val="Normal"/>
    <w:next w:val="Normal"/>
    <w:autoRedefine/>
    <w:uiPriority w:val="39"/>
    <w:unhideWhenUsed/>
    <w:rsid w:val="00CD0059"/>
    <w:pPr>
      <w:spacing w:before="120" w:after="120"/>
    </w:pPr>
    <w:rPr>
      <w:rFonts w:asciiTheme="minorHAnsi" w:hAnsiTheme="minorHAnsi" w:cstheme="minorHAnsi"/>
      <w:b/>
      <w:bCs/>
      <w:caps/>
    </w:rPr>
  </w:style>
  <w:style w:type="paragraph" w:styleId="TOC2">
    <w:name w:val="toc 2"/>
    <w:basedOn w:val="Normal"/>
    <w:next w:val="Normal"/>
    <w:autoRedefine/>
    <w:uiPriority w:val="39"/>
    <w:unhideWhenUsed/>
    <w:rsid w:val="00CD0059"/>
    <w:pPr>
      <w:ind w:left="200"/>
    </w:pPr>
    <w:rPr>
      <w:rFonts w:asciiTheme="minorHAnsi" w:hAnsiTheme="minorHAnsi" w:cstheme="minorHAnsi"/>
      <w:smallCaps/>
    </w:rPr>
  </w:style>
  <w:style w:type="paragraph" w:styleId="TOC3">
    <w:name w:val="toc 3"/>
    <w:basedOn w:val="Normal"/>
    <w:next w:val="Normal"/>
    <w:autoRedefine/>
    <w:uiPriority w:val="39"/>
    <w:unhideWhenUsed/>
    <w:rsid w:val="00CD0059"/>
    <w:pPr>
      <w:ind w:left="400"/>
    </w:pPr>
    <w:rPr>
      <w:rFonts w:asciiTheme="minorHAnsi" w:hAnsiTheme="minorHAnsi" w:cstheme="minorHAnsi"/>
      <w:i/>
      <w:iCs/>
    </w:rPr>
  </w:style>
  <w:style w:type="character" w:styleId="Hyperlink">
    <w:name w:val="Hyperlink"/>
    <w:basedOn w:val="DefaultParagraphFont"/>
    <w:uiPriority w:val="99"/>
    <w:unhideWhenUsed/>
    <w:rsid w:val="00CD0059"/>
    <w:rPr>
      <w:color w:val="0563C1" w:themeColor="hyperlink"/>
      <w:u w:val="single"/>
    </w:rPr>
  </w:style>
  <w:style w:type="character" w:customStyle="1" w:styleId="Heading1Char">
    <w:name w:val="Heading 1 Char"/>
    <w:basedOn w:val="DefaultParagraphFont"/>
    <w:link w:val="Heading1"/>
    <w:uiPriority w:val="9"/>
    <w:rsid w:val="00CD0059"/>
    <w:rPr>
      <w:rFonts w:asciiTheme="majorHAnsi" w:eastAsiaTheme="majorEastAsia" w:hAnsiTheme="majorHAnsi" w:cstheme="majorBidi"/>
      <w:color w:val="2F5496" w:themeColor="accent1" w:themeShade="BF"/>
      <w:kern w:val="0"/>
      <w:sz w:val="32"/>
      <w:szCs w:val="32"/>
      <w:lang w:val="en-US"/>
      <w14:ligatures w14:val="none"/>
    </w:rPr>
  </w:style>
  <w:style w:type="paragraph" w:styleId="TOCHeading">
    <w:name w:val="TOC Heading"/>
    <w:basedOn w:val="Heading1"/>
    <w:next w:val="Normal"/>
    <w:uiPriority w:val="39"/>
    <w:unhideWhenUsed/>
    <w:qFormat/>
    <w:rsid w:val="00CD0059"/>
    <w:pPr>
      <w:spacing w:before="480" w:line="276" w:lineRule="auto"/>
      <w:outlineLvl w:val="9"/>
    </w:pPr>
    <w:rPr>
      <w:b/>
      <w:bCs/>
      <w:sz w:val="28"/>
      <w:szCs w:val="28"/>
    </w:rPr>
  </w:style>
  <w:style w:type="paragraph" w:styleId="TOC4">
    <w:name w:val="toc 4"/>
    <w:basedOn w:val="Normal"/>
    <w:next w:val="Normal"/>
    <w:autoRedefine/>
    <w:uiPriority w:val="39"/>
    <w:semiHidden/>
    <w:unhideWhenUsed/>
    <w:rsid w:val="00CD0059"/>
    <w:pPr>
      <w:ind w:left="60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CD0059"/>
    <w:pPr>
      <w:ind w:left="80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CD0059"/>
    <w:pPr>
      <w:ind w:left="10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CD0059"/>
    <w:pPr>
      <w:ind w:left="120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CD0059"/>
    <w:pPr>
      <w:ind w:left="140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CD0059"/>
    <w:pPr>
      <w:ind w:left="1600"/>
    </w:pPr>
    <w:rPr>
      <w:rFonts w:asciiTheme="minorHAnsi" w:hAnsiTheme="minorHAnsi" w:cstheme="minorHAnsi"/>
      <w:sz w:val="18"/>
      <w:szCs w:val="18"/>
    </w:rPr>
  </w:style>
  <w:style w:type="paragraph" w:styleId="NormalWeb">
    <w:name w:val="Normal (Web)"/>
    <w:basedOn w:val="Normal"/>
    <w:uiPriority w:val="99"/>
    <w:semiHidden/>
    <w:unhideWhenUsed/>
    <w:rsid w:val="001A104A"/>
    <w:pPr>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1A104A"/>
    <w:rPr>
      <w:b/>
      <w:bCs/>
    </w:rPr>
  </w:style>
  <w:style w:type="paragraph" w:styleId="ListParagraph">
    <w:name w:val="List Paragraph"/>
    <w:basedOn w:val="Normal"/>
    <w:uiPriority w:val="34"/>
    <w:qFormat/>
    <w:rsid w:val="007D5845"/>
    <w:pPr>
      <w:ind w:left="720"/>
      <w:contextualSpacing/>
    </w:pPr>
  </w:style>
  <w:style w:type="paragraph" w:styleId="z-TopofForm">
    <w:name w:val="HTML Top of Form"/>
    <w:basedOn w:val="Normal"/>
    <w:next w:val="Normal"/>
    <w:link w:val="z-TopofFormChar"/>
    <w:hidden/>
    <w:uiPriority w:val="99"/>
    <w:semiHidden/>
    <w:unhideWhenUsed/>
    <w:rsid w:val="00D02491"/>
    <w:pPr>
      <w:pBdr>
        <w:bottom w:val="single" w:sz="6" w:space="1" w:color="auto"/>
      </w:pBdr>
      <w:jc w:val="center"/>
    </w:pPr>
    <w:rPr>
      <w:rFonts w:ascii="Arial" w:eastAsia="Times New Roman" w:hAnsi="Arial"/>
      <w:vanish/>
      <w:sz w:val="16"/>
      <w:szCs w:val="16"/>
      <w:lang w:val="en-GB" w:eastAsia="en-GB"/>
    </w:rPr>
  </w:style>
  <w:style w:type="character" w:customStyle="1" w:styleId="z-TopofFormChar">
    <w:name w:val="z-Top of Form Char"/>
    <w:basedOn w:val="DefaultParagraphFont"/>
    <w:link w:val="z-TopofForm"/>
    <w:uiPriority w:val="99"/>
    <w:semiHidden/>
    <w:rsid w:val="00D02491"/>
    <w:rPr>
      <w:rFonts w:ascii="Arial" w:eastAsia="Times New Roman" w:hAnsi="Arial" w:cs="Arial"/>
      <w:vanish/>
      <w:kern w:val="0"/>
      <w:sz w:val="16"/>
      <w:szCs w:val="16"/>
      <w:lang w:val="en-GB" w:eastAsia="en-GB"/>
      <w14:ligatures w14:val="none"/>
    </w:rPr>
  </w:style>
  <w:style w:type="character" w:styleId="UnresolvedMention">
    <w:name w:val="Unresolved Mention"/>
    <w:basedOn w:val="DefaultParagraphFont"/>
    <w:uiPriority w:val="99"/>
    <w:semiHidden/>
    <w:unhideWhenUsed/>
    <w:rsid w:val="007E18E5"/>
    <w:rPr>
      <w:color w:val="605E5C"/>
      <w:shd w:val="clear" w:color="auto" w:fill="E1DFDD"/>
    </w:rPr>
  </w:style>
  <w:style w:type="character" w:styleId="FollowedHyperlink">
    <w:name w:val="FollowedHyperlink"/>
    <w:basedOn w:val="DefaultParagraphFont"/>
    <w:uiPriority w:val="99"/>
    <w:semiHidden/>
    <w:unhideWhenUsed/>
    <w:rsid w:val="007E18E5"/>
    <w:rPr>
      <w:color w:val="954F72" w:themeColor="followedHyperlink"/>
      <w:u w:val="single"/>
    </w:rPr>
  </w:style>
  <w:style w:type="table" w:styleId="TableGrid">
    <w:name w:val="Table Grid"/>
    <w:basedOn w:val="TableNormal"/>
    <w:uiPriority w:val="39"/>
    <w:rsid w:val="00B7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B0006"/>
    <w:rPr>
      <w:i/>
      <w:iCs/>
    </w:rPr>
  </w:style>
  <w:style w:type="character" w:customStyle="1" w:styleId="Heading2Char">
    <w:name w:val="Heading 2 Char"/>
    <w:basedOn w:val="DefaultParagraphFont"/>
    <w:link w:val="Heading2"/>
    <w:uiPriority w:val="9"/>
    <w:semiHidden/>
    <w:rsid w:val="00343F5D"/>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Heading3Char">
    <w:name w:val="Heading 3 Char"/>
    <w:basedOn w:val="DefaultParagraphFont"/>
    <w:link w:val="Heading3"/>
    <w:uiPriority w:val="9"/>
    <w:semiHidden/>
    <w:rsid w:val="00343F5D"/>
    <w:rPr>
      <w:rFonts w:asciiTheme="majorHAnsi" w:eastAsiaTheme="majorEastAsia" w:hAnsiTheme="majorHAnsi" w:cstheme="majorBidi"/>
      <w:color w:val="1F3763" w:themeColor="accent1" w:themeShade="7F"/>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6056">
      <w:bodyDiv w:val="1"/>
      <w:marLeft w:val="0"/>
      <w:marRight w:val="0"/>
      <w:marTop w:val="0"/>
      <w:marBottom w:val="0"/>
      <w:divBdr>
        <w:top w:val="none" w:sz="0" w:space="0" w:color="auto"/>
        <w:left w:val="none" w:sz="0" w:space="0" w:color="auto"/>
        <w:bottom w:val="none" w:sz="0" w:space="0" w:color="auto"/>
        <w:right w:val="none" w:sz="0" w:space="0" w:color="auto"/>
      </w:divBdr>
    </w:div>
    <w:div w:id="24866208">
      <w:bodyDiv w:val="1"/>
      <w:marLeft w:val="0"/>
      <w:marRight w:val="0"/>
      <w:marTop w:val="0"/>
      <w:marBottom w:val="0"/>
      <w:divBdr>
        <w:top w:val="none" w:sz="0" w:space="0" w:color="auto"/>
        <w:left w:val="none" w:sz="0" w:space="0" w:color="auto"/>
        <w:bottom w:val="none" w:sz="0" w:space="0" w:color="auto"/>
        <w:right w:val="none" w:sz="0" w:space="0" w:color="auto"/>
      </w:divBdr>
    </w:div>
    <w:div w:id="30501135">
      <w:bodyDiv w:val="1"/>
      <w:marLeft w:val="0"/>
      <w:marRight w:val="0"/>
      <w:marTop w:val="0"/>
      <w:marBottom w:val="0"/>
      <w:divBdr>
        <w:top w:val="none" w:sz="0" w:space="0" w:color="auto"/>
        <w:left w:val="none" w:sz="0" w:space="0" w:color="auto"/>
        <w:bottom w:val="none" w:sz="0" w:space="0" w:color="auto"/>
        <w:right w:val="none" w:sz="0" w:space="0" w:color="auto"/>
      </w:divBdr>
    </w:div>
    <w:div w:id="51469304">
      <w:bodyDiv w:val="1"/>
      <w:marLeft w:val="0"/>
      <w:marRight w:val="0"/>
      <w:marTop w:val="0"/>
      <w:marBottom w:val="0"/>
      <w:divBdr>
        <w:top w:val="none" w:sz="0" w:space="0" w:color="auto"/>
        <w:left w:val="none" w:sz="0" w:space="0" w:color="auto"/>
        <w:bottom w:val="none" w:sz="0" w:space="0" w:color="auto"/>
        <w:right w:val="none" w:sz="0" w:space="0" w:color="auto"/>
      </w:divBdr>
      <w:divsChild>
        <w:div w:id="26033483">
          <w:marLeft w:val="0"/>
          <w:marRight w:val="0"/>
          <w:marTop w:val="0"/>
          <w:marBottom w:val="0"/>
          <w:divBdr>
            <w:top w:val="single" w:sz="2" w:space="0" w:color="E3E3E3"/>
            <w:left w:val="single" w:sz="2" w:space="0" w:color="E3E3E3"/>
            <w:bottom w:val="single" w:sz="2" w:space="0" w:color="E3E3E3"/>
            <w:right w:val="single" w:sz="2" w:space="0" w:color="E3E3E3"/>
          </w:divBdr>
          <w:divsChild>
            <w:div w:id="1768846050">
              <w:marLeft w:val="0"/>
              <w:marRight w:val="0"/>
              <w:marTop w:val="0"/>
              <w:marBottom w:val="0"/>
              <w:divBdr>
                <w:top w:val="single" w:sz="2" w:space="0" w:color="E3E3E3"/>
                <w:left w:val="single" w:sz="2" w:space="0" w:color="E3E3E3"/>
                <w:bottom w:val="single" w:sz="2" w:space="0" w:color="E3E3E3"/>
                <w:right w:val="single" w:sz="2" w:space="0" w:color="E3E3E3"/>
              </w:divBdr>
              <w:divsChild>
                <w:div w:id="939334540">
                  <w:marLeft w:val="0"/>
                  <w:marRight w:val="0"/>
                  <w:marTop w:val="0"/>
                  <w:marBottom w:val="0"/>
                  <w:divBdr>
                    <w:top w:val="single" w:sz="2" w:space="0" w:color="E3E3E3"/>
                    <w:left w:val="single" w:sz="2" w:space="0" w:color="E3E3E3"/>
                    <w:bottom w:val="single" w:sz="2" w:space="0" w:color="E3E3E3"/>
                    <w:right w:val="single" w:sz="2" w:space="0" w:color="E3E3E3"/>
                  </w:divBdr>
                  <w:divsChild>
                    <w:div w:id="588002402">
                      <w:marLeft w:val="0"/>
                      <w:marRight w:val="0"/>
                      <w:marTop w:val="0"/>
                      <w:marBottom w:val="0"/>
                      <w:divBdr>
                        <w:top w:val="single" w:sz="2" w:space="0" w:color="E3E3E3"/>
                        <w:left w:val="single" w:sz="2" w:space="0" w:color="E3E3E3"/>
                        <w:bottom w:val="single" w:sz="2" w:space="0" w:color="E3E3E3"/>
                        <w:right w:val="single" w:sz="2" w:space="0" w:color="E3E3E3"/>
                      </w:divBdr>
                      <w:divsChild>
                        <w:div w:id="709064780">
                          <w:marLeft w:val="0"/>
                          <w:marRight w:val="0"/>
                          <w:marTop w:val="0"/>
                          <w:marBottom w:val="0"/>
                          <w:divBdr>
                            <w:top w:val="single" w:sz="2" w:space="0" w:color="E3E3E3"/>
                            <w:left w:val="single" w:sz="2" w:space="0" w:color="E3E3E3"/>
                            <w:bottom w:val="single" w:sz="2" w:space="0" w:color="E3E3E3"/>
                            <w:right w:val="single" w:sz="2" w:space="0" w:color="E3E3E3"/>
                          </w:divBdr>
                          <w:divsChild>
                            <w:div w:id="359818538">
                              <w:marLeft w:val="0"/>
                              <w:marRight w:val="0"/>
                              <w:marTop w:val="100"/>
                              <w:marBottom w:val="100"/>
                              <w:divBdr>
                                <w:top w:val="single" w:sz="2" w:space="0" w:color="E3E3E3"/>
                                <w:left w:val="single" w:sz="2" w:space="0" w:color="E3E3E3"/>
                                <w:bottom w:val="single" w:sz="2" w:space="0" w:color="E3E3E3"/>
                                <w:right w:val="single" w:sz="2" w:space="0" w:color="E3E3E3"/>
                              </w:divBdr>
                              <w:divsChild>
                                <w:div w:id="510411668">
                                  <w:marLeft w:val="0"/>
                                  <w:marRight w:val="0"/>
                                  <w:marTop w:val="0"/>
                                  <w:marBottom w:val="0"/>
                                  <w:divBdr>
                                    <w:top w:val="single" w:sz="2" w:space="0" w:color="E3E3E3"/>
                                    <w:left w:val="single" w:sz="2" w:space="0" w:color="E3E3E3"/>
                                    <w:bottom w:val="single" w:sz="2" w:space="0" w:color="E3E3E3"/>
                                    <w:right w:val="single" w:sz="2" w:space="0" w:color="E3E3E3"/>
                                  </w:divBdr>
                                  <w:divsChild>
                                    <w:div w:id="1788888300">
                                      <w:marLeft w:val="0"/>
                                      <w:marRight w:val="0"/>
                                      <w:marTop w:val="0"/>
                                      <w:marBottom w:val="0"/>
                                      <w:divBdr>
                                        <w:top w:val="single" w:sz="2" w:space="0" w:color="E3E3E3"/>
                                        <w:left w:val="single" w:sz="2" w:space="0" w:color="E3E3E3"/>
                                        <w:bottom w:val="single" w:sz="2" w:space="0" w:color="E3E3E3"/>
                                        <w:right w:val="single" w:sz="2" w:space="0" w:color="E3E3E3"/>
                                      </w:divBdr>
                                      <w:divsChild>
                                        <w:div w:id="1196580103">
                                          <w:marLeft w:val="0"/>
                                          <w:marRight w:val="0"/>
                                          <w:marTop w:val="0"/>
                                          <w:marBottom w:val="0"/>
                                          <w:divBdr>
                                            <w:top w:val="single" w:sz="2" w:space="0" w:color="E3E3E3"/>
                                            <w:left w:val="single" w:sz="2" w:space="0" w:color="E3E3E3"/>
                                            <w:bottom w:val="single" w:sz="2" w:space="0" w:color="E3E3E3"/>
                                            <w:right w:val="single" w:sz="2" w:space="0" w:color="E3E3E3"/>
                                          </w:divBdr>
                                          <w:divsChild>
                                            <w:div w:id="1996494227">
                                              <w:marLeft w:val="0"/>
                                              <w:marRight w:val="0"/>
                                              <w:marTop w:val="0"/>
                                              <w:marBottom w:val="0"/>
                                              <w:divBdr>
                                                <w:top w:val="single" w:sz="2" w:space="0" w:color="E3E3E3"/>
                                                <w:left w:val="single" w:sz="2" w:space="0" w:color="E3E3E3"/>
                                                <w:bottom w:val="single" w:sz="2" w:space="0" w:color="E3E3E3"/>
                                                <w:right w:val="single" w:sz="2" w:space="0" w:color="E3E3E3"/>
                                              </w:divBdr>
                                              <w:divsChild>
                                                <w:div w:id="1626424218">
                                                  <w:marLeft w:val="0"/>
                                                  <w:marRight w:val="0"/>
                                                  <w:marTop w:val="0"/>
                                                  <w:marBottom w:val="0"/>
                                                  <w:divBdr>
                                                    <w:top w:val="single" w:sz="2" w:space="0" w:color="E3E3E3"/>
                                                    <w:left w:val="single" w:sz="2" w:space="0" w:color="E3E3E3"/>
                                                    <w:bottom w:val="single" w:sz="2" w:space="0" w:color="E3E3E3"/>
                                                    <w:right w:val="single" w:sz="2" w:space="0" w:color="E3E3E3"/>
                                                  </w:divBdr>
                                                  <w:divsChild>
                                                    <w:div w:id="6902276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94411735">
          <w:marLeft w:val="0"/>
          <w:marRight w:val="0"/>
          <w:marTop w:val="0"/>
          <w:marBottom w:val="0"/>
          <w:divBdr>
            <w:top w:val="none" w:sz="0" w:space="0" w:color="auto"/>
            <w:left w:val="none" w:sz="0" w:space="0" w:color="auto"/>
            <w:bottom w:val="none" w:sz="0" w:space="0" w:color="auto"/>
            <w:right w:val="none" w:sz="0" w:space="0" w:color="auto"/>
          </w:divBdr>
        </w:div>
      </w:divsChild>
    </w:div>
    <w:div w:id="57048961">
      <w:bodyDiv w:val="1"/>
      <w:marLeft w:val="0"/>
      <w:marRight w:val="0"/>
      <w:marTop w:val="0"/>
      <w:marBottom w:val="0"/>
      <w:divBdr>
        <w:top w:val="none" w:sz="0" w:space="0" w:color="auto"/>
        <w:left w:val="none" w:sz="0" w:space="0" w:color="auto"/>
        <w:bottom w:val="none" w:sz="0" w:space="0" w:color="auto"/>
        <w:right w:val="none" w:sz="0" w:space="0" w:color="auto"/>
      </w:divBdr>
    </w:div>
    <w:div w:id="64186446">
      <w:bodyDiv w:val="1"/>
      <w:marLeft w:val="0"/>
      <w:marRight w:val="0"/>
      <w:marTop w:val="0"/>
      <w:marBottom w:val="0"/>
      <w:divBdr>
        <w:top w:val="none" w:sz="0" w:space="0" w:color="auto"/>
        <w:left w:val="none" w:sz="0" w:space="0" w:color="auto"/>
        <w:bottom w:val="none" w:sz="0" w:space="0" w:color="auto"/>
        <w:right w:val="none" w:sz="0" w:space="0" w:color="auto"/>
      </w:divBdr>
    </w:div>
    <w:div w:id="110366780">
      <w:bodyDiv w:val="1"/>
      <w:marLeft w:val="0"/>
      <w:marRight w:val="0"/>
      <w:marTop w:val="0"/>
      <w:marBottom w:val="0"/>
      <w:divBdr>
        <w:top w:val="none" w:sz="0" w:space="0" w:color="auto"/>
        <w:left w:val="none" w:sz="0" w:space="0" w:color="auto"/>
        <w:bottom w:val="none" w:sz="0" w:space="0" w:color="auto"/>
        <w:right w:val="none" w:sz="0" w:space="0" w:color="auto"/>
      </w:divBdr>
    </w:div>
    <w:div w:id="195243397">
      <w:bodyDiv w:val="1"/>
      <w:marLeft w:val="0"/>
      <w:marRight w:val="0"/>
      <w:marTop w:val="0"/>
      <w:marBottom w:val="0"/>
      <w:divBdr>
        <w:top w:val="none" w:sz="0" w:space="0" w:color="auto"/>
        <w:left w:val="none" w:sz="0" w:space="0" w:color="auto"/>
        <w:bottom w:val="none" w:sz="0" w:space="0" w:color="auto"/>
        <w:right w:val="none" w:sz="0" w:space="0" w:color="auto"/>
      </w:divBdr>
    </w:div>
    <w:div w:id="211038861">
      <w:bodyDiv w:val="1"/>
      <w:marLeft w:val="0"/>
      <w:marRight w:val="0"/>
      <w:marTop w:val="0"/>
      <w:marBottom w:val="0"/>
      <w:divBdr>
        <w:top w:val="none" w:sz="0" w:space="0" w:color="auto"/>
        <w:left w:val="none" w:sz="0" w:space="0" w:color="auto"/>
        <w:bottom w:val="none" w:sz="0" w:space="0" w:color="auto"/>
        <w:right w:val="none" w:sz="0" w:space="0" w:color="auto"/>
      </w:divBdr>
    </w:div>
    <w:div w:id="226764280">
      <w:bodyDiv w:val="1"/>
      <w:marLeft w:val="0"/>
      <w:marRight w:val="0"/>
      <w:marTop w:val="0"/>
      <w:marBottom w:val="0"/>
      <w:divBdr>
        <w:top w:val="none" w:sz="0" w:space="0" w:color="auto"/>
        <w:left w:val="none" w:sz="0" w:space="0" w:color="auto"/>
        <w:bottom w:val="none" w:sz="0" w:space="0" w:color="auto"/>
        <w:right w:val="none" w:sz="0" w:space="0" w:color="auto"/>
      </w:divBdr>
    </w:div>
    <w:div w:id="235408085">
      <w:bodyDiv w:val="1"/>
      <w:marLeft w:val="0"/>
      <w:marRight w:val="0"/>
      <w:marTop w:val="0"/>
      <w:marBottom w:val="0"/>
      <w:divBdr>
        <w:top w:val="none" w:sz="0" w:space="0" w:color="auto"/>
        <w:left w:val="none" w:sz="0" w:space="0" w:color="auto"/>
        <w:bottom w:val="none" w:sz="0" w:space="0" w:color="auto"/>
        <w:right w:val="none" w:sz="0" w:space="0" w:color="auto"/>
      </w:divBdr>
    </w:div>
    <w:div w:id="283074644">
      <w:bodyDiv w:val="1"/>
      <w:marLeft w:val="0"/>
      <w:marRight w:val="0"/>
      <w:marTop w:val="0"/>
      <w:marBottom w:val="0"/>
      <w:divBdr>
        <w:top w:val="none" w:sz="0" w:space="0" w:color="auto"/>
        <w:left w:val="none" w:sz="0" w:space="0" w:color="auto"/>
        <w:bottom w:val="none" w:sz="0" w:space="0" w:color="auto"/>
        <w:right w:val="none" w:sz="0" w:space="0" w:color="auto"/>
      </w:divBdr>
    </w:div>
    <w:div w:id="311835963">
      <w:bodyDiv w:val="1"/>
      <w:marLeft w:val="0"/>
      <w:marRight w:val="0"/>
      <w:marTop w:val="0"/>
      <w:marBottom w:val="0"/>
      <w:divBdr>
        <w:top w:val="none" w:sz="0" w:space="0" w:color="auto"/>
        <w:left w:val="none" w:sz="0" w:space="0" w:color="auto"/>
        <w:bottom w:val="none" w:sz="0" w:space="0" w:color="auto"/>
        <w:right w:val="none" w:sz="0" w:space="0" w:color="auto"/>
      </w:divBdr>
    </w:div>
    <w:div w:id="319046271">
      <w:bodyDiv w:val="1"/>
      <w:marLeft w:val="0"/>
      <w:marRight w:val="0"/>
      <w:marTop w:val="0"/>
      <w:marBottom w:val="0"/>
      <w:divBdr>
        <w:top w:val="none" w:sz="0" w:space="0" w:color="auto"/>
        <w:left w:val="none" w:sz="0" w:space="0" w:color="auto"/>
        <w:bottom w:val="none" w:sz="0" w:space="0" w:color="auto"/>
        <w:right w:val="none" w:sz="0" w:space="0" w:color="auto"/>
      </w:divBdr>
    </w:div>
    <w:div w:id="332731300">
      <w:bodyDiv w:val="1"/>
      <w:marLeft w:val="0"/>
      <w:marRight w:val="0"/>
      <w:marTop w:val="0"/>
      <w:marBottom w:val="0"/>
      <w:divBdr>
        <w:top w:val="none" w:sz="0" w:space="0" w:color="auto"/>
        <w:left w:val="none" w:sz="0" w:space="0" w:color="auto"/>
        <w:bottom w:val="none" w:sz="0" w:space="0" w:color="auto"/>
        <w:right w:val="none" w:sz="0" w:space="0" w:color="auto"/>
      </w:divBdr>
    </w:div>
    <w:div w:id="444934442">
      <w:bodyDiv w:val="1"/>
      <w:marLeft w:val="0"/>
      <w:marRight w:val="0"/>
      <w:marTop w:val="0"/>
      <w:marBottom w:val="0"/>
      <w:divBdr>
        <w:top w:val="none" w:sz="0" w:space="0" w:color="auto"/>
        <w:left w:val="none" w:sz="0" w:space="0" w:color="auto"/>
        <w:bottom w:val="none" w:sz="0" w:space="0" w:color="auto"/>
        <w:right w:val="none" w:sz="0" w:space="0" w:color="auto"/>
      </w:divBdr>
    </w:div>
    <w:div w:id="476729064">
      <w:bodyDiv w:val="1"/>
      <w:marLeft w:val="0"/>
      <w:marRight w:val="0"/>
      <w:marTop w:val="0"/>
      <w:marBottom w:val="0"/>
      <w:divBdr>
        <w:top w:val="none" w:sz="0" w:space="0" w:color="auto"/>
        <w:left w:val="none" w:sz="0" w:space="0" w:color="auto"/>
        <w:bottom w:val="none" w:sz="0" w:space="0" w:color="auto"/>
        <w:right w:val="none" w:sz="0" w:space="0" w:color="auto"/>
      </w:divBdr>
    </w:div>
    <w:div w:id="481510777">
      <w:bodyDiv w:val="1"/>
      <w:marLeft w:val="0"/>
      <w:marRight w:val="0"/>
      <w:marTop w:val="0"/>
      <w:marBottom w:val="0"/>
      <w:divBdr>
        <w:top w:val="none" w:sz="0" w:space="0" w:color="auto"/>
        <w:left w:val="none" w:sz="0" w:space="0" w:color="auto"/>
        <w:bottom w:val="none" w:sz="0" w:space="0" w:color="auto"/>
        <w:right w:val="none" w:sz="0" w:space="0" w:color="auto"/>
      </w:divBdr>
    </w:div>
    <w:div w:id="550505488">
      <w:bodyDiv w:val="1"/>
      <w:marLeft w:val="0"/>
      <w:marRight w:val="0"/>
      <w:marTop w:val="0"/>
      <w:marBottom w:val="0"/>
      <w:divBdr>
        <w:top w:val="none" w:sz="0" w:space="0" w:color="auto"/>
        <w:left w:val="none" w:sz="0" w:space="0" w:color="auto"/>
        <w:bottom w:val="none" w:sz="0" w:space="0" w:color="auto"/>
        <w:right w:val="none" w:sz="0" w:space="0" w:color="auto"/>
      </w:divBdr>
    </w:div>
    <w:div w:id="551425910">
      <w:bodyDiv w:val="1"/>
      <w:marLeft w:val="0"/>
      <w:marRight w:val="0"/>
      <w:marTop w:val="0"/>
      <w:marBottom w:val="0"/>
      <w:divBdr>
        <w:top w:val="none" w:sz="0" w:space="0" w:color="auto"/>
        <w:left w:val="none" w:sz="0" w:space="0" w:color="auto"/>
        <w:bottom w:val="none" w:sz="0" w:space="0" w:color="auto"/>
        <w:right w:val="none" w:sz="0" w:space="0" w:color="auto"/>
      </w:divBdr>
      <w:divsChild>
        <w:div w:id="1476754035">
          <w:marLeft w:val="0"/>
          <w:marRight w:val="0"/>
          <w:marTop w:val="0"/>
          <w:marBottom w:val="0"/>
          <w:divBdr>
            <w:top w:val="single" w:sz="2" w:space="0" w:color="E3E3E3"/>
            <w:left w:val="single" w:sz="2" w:space="0" w:color="E3E3E3"/>
            <w:bottom w:val="single" w:sz="2" w:space="0" w:color="E3E3E3"/>
            <w:right w:val="single" w:sz="2" w:space="0" w:color="E3E3E3"/>
          </w:divBdr>
          <w:divsChild>
            <w:div w:id="665787670">
              <w:marLeft w:val="0"/>
              <w:marRight w:val="0"/>
              <w:marTop w:val="0"/>
              <w:marBottom w:val="0"/>
              <w:divBdr>
                <w:top w:val="single" w:sz="2" w:space="0" w:color="E3E3E3"/>
                <w:left w:val="single" w:sz="2" w:space="0" w:color="E3E3E3"/>
                <w:bottom w:val="single" w:sz="2" w:space="0" w:color="E3E3E3"/>
                <w:right w:val="single" w:sz="2" w:space="0" w:color="E3E3E3"/>
              </w:divBdr>
              <w:divsChild>
                <w:div w:id="200671617">
                  <w:marLeft w:val="0"/>
                  <w:marRight w:val="0"/>
                  <w:marTop w:val="0"/>
                  <w:marBottom w:val="0"/>
                  <w:divBdr>
                    <w:top w:val="single" w:sz="2" w:space="0" w:color="E3E3E3"/>
                    <w:left w:val="single" w:sz="2" w:space="0" w:color="E3E3E3"/>
                    <w:bottom w:val="single" w:sz="2" w:space="0" w:color="E3E3E3"/>
                    <w:right w:val="single" w:sz="2" w:space="0" w:color="E3E3E3"/>
                  </w:divBdr>
                  <w:divsChild>
                    <w:div w:id="1312910107">
                      <w:marLeft w:val="0"/>
                      <w:marRight w:val="0"/>
                      <w:marTop w:val="0"/>
                      <w:marBottom w:val="0"/>
                      <w:divBdr>
                        <w:top w:val="single" w:sz="2" w:space="0" w:color="E3E3E3"/>
                        <w:left w:val="single" w:sz="2" w:space="0" w:color="E3E3E3"/>
                        <w:bottom w:val="single" w:sz="2" w:space="0" w:color="E3E3E3"/>
                        <w:right w:val="single" w:sz="2" w:space="0" w:color="E3E3E3"/>
                      </w:divBdr>
                      <w:divsChild>
                        <w:div w:id="1341158150">
                          <w:marLeft w:val="0"/>
                          <w:marRight w:val="0"/>
                          <w:marTop w:val="0"/>
                          <w:marBottom w:val="0"/>
                          <w:divBdr>
                            <w:top w:val="single" w:sz="2" w:space="0" w:color="E3E3E3"/>
                            <w:left w:val="single" w:sz="2" w:space="0" w:color="E3E3E3"/>
                            <w:bottom w:val="single" w:sz="2" w:space="0" w:color="E3E3E3"/>
                            <w:right w:val="single" w:sz="2" w:space="0" w:color="E3E3E3"/>
                          </w:divBdr>
                          <w:divsChild>
                            <w:div w:id="1656181661">
                              <w:marLeft w:val="0"/>
                              <w:marRight w:val="0"/>
                              <w:marTop w:val="100"/>
                              <w:marBottom w:val="100"/>
                              <w:divBdr>
                                <w:top w:val="single" w:sz="2" w:space="0" w:color="E3E3E3"/>
                                <w:left w:val="single" w:sz="2" w:space="0" w:color="E3E3E3"/>
                                <w:bottom w:val="single" w:sz="2" w:space="0" w:color="E3E3E3"/>
                                <w:right w:val="single" w:sz="2" w:space="0" w:color="E3E3E3"/>
                              </w:divBdr>
                              <w:divsChild>
                                <w:div w:id="562105014">
                                  <w:marLeft w:val="0"/>
                                  <w:marRight w:val="0"/>
                                  <w:marTop w:val="0"/>
                                  <w:marBottom w:val="0"/>
                                  <w:divBdr>
                                    <w:top w:val="single" w:sz="2" w:space="0" w:color="E3E3E3"/>
                                    <w:left w:val="single" w:sz="2" w:space="0" w:color="E3E3E3"/>
                                    <w:bottom w:val="single" w:sz="2" w:space="0" w:color="E3E3E3"/>
                                    <w:right w:val="single" w:sz="2" w:space="0" w:color="E3E3E3"/>
                                  </w:divBdr>
                                  <w:divsChild>
                                    <w:div w:id="1664356364">
                                      <w:marLeft w:val="0"/>
                                      <w:marRight w:val="0"/>
                                      <w:marTop w:val="0"/>
                                      <w:marBottom w:val="0"/>
                                      <w:divBdr>
                                        <w:top w:val="single" w:sz="2" w:space="0" w:color="E3E3E3"/>
                                        <w:left w:val="single" w:sz="2" w:space="0" w:color="E3E3E3"/>
                                        <w:bottom w:val="single" w:sz="2" w:space="0" w:color="E3E3E3"/>
                                        <w:right w:val="single" w:sz="2" w:space="0" w:color="E3E3E3"/>
                                      </w:divBdr>
                                      <w:divsChild>
                                        <w:div w:id="466168410">
                                          <w:marLeft w:val="0"/>
                                          <w:marRight w:val="0"/>
                                          <w:marTop w:val="0"/>
                                          <w:marBottom w:val="0"/>
                                          <w:divBdr>
                                            <w:top w:val="single" w:sz="2" w:space="0" w:color="E3E3E3"/>
                                            <w:left w:val="single" w:sz="2" w:space="0" w:color="E3E3E3"/>
                                            <w:bottom w:val="single" w:sz="2" w:space="0" w:color="E3E3E3"/>
                                            <w:right w:val="single" w:sz="2" w:space="0" w:color="E3E3E3"/>
                                          </w:divBdr>
                                          <w:divsChild>
                                            <w:div w:id="1410230253">
                                              <w:marLeft w:val="0"/>
                                              <w:marRight w:val="0"/>
                                              <w:marTop w:val="0"/>
                                              <w:marBottom w:val="0"/>
                                              <w:divBdr>
                                                <w:top w:val="single" w:sz="2" w:space="0" w:color="E3E3E3"/>
                                                <w:left w:val="single" w:sz="2" w:space="0" w:color="E3E3E3"/>
                                                <w:bottom w:val="single" w:sz="2" w:space="0" w:color="E3E3E3"/>
                                                <w:right w:val="single" w:sz="2" w:space="0" w:color="E3E3E3"/>
                                              </w:divBdr>
                                              <w:divsChild>
                                                <w:div w:id="1933968833">
                                                  <w:marLeft w:val="0"/>
                                                  <w:marRight w:val="0"/>
                                                  <w:marTop w:val="0"/>
                                                  <w:marBottom w:val="0"/>
                                                  <w:divBdr>
                                                    <w:top w:val="single" w:sz="2" w:space="0" w:color="E3E3E3"/>
                                                    <w:left w:val="single" w:sz="2" w:space="0" w:color="E3E3E3"/>
                                                    <w:bottom w:val="single" w:sz="2" w:space="0" w:color="E3E3E3"/>
                                                    <w:right w:val="single" w:sz="2" w:space="0" w:color="E3E3E3"/>
                                                  </w:divBdr>
                                                  <w:divsChild>
                                                    <w:div w:id="2012149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40674197">
          <w:marLeft w:val="0"/>
          <w:marRight w:val="0"/>
          <w:marTop w:val="0"/>
          <w:marBottom w:val="0"/>
          <w:divBdr>
            <w:top w:val="none" w:sz="0" w:space="0" w:color="auto"/>
            <w:left w:val="none" w:sz="0" w:space="0" w:color="auto"/>
            <w:bottom w:val="none" w:sz="0" w:space="0" w:color="auto"/>
            <w:right w:val="none" w:sz="0" w:space="0" w:color="auto"/>
          </w:divBdr>
        </w:div>
      </w:divsChild>
    </w:div>
    <w:div w:id="553470176">
      <w:bodyDiv w:val="1"/>
      <w:marLeft w:val="0"/>
      <w:marRight w:val="0"/>
      <w:marTop w:val="0"/>
      <w:marBottom w:val="0"/>
      <w:divBdr>
        <w:top w:val="none" w:sz="0" w:space="0" w:color="auto"/>
        <w:left w:val="none" w:sz="0" w:space="0" w:color="auto"/>
        <w:bottom w:val="none" w:sz="0" w:space="0" w:color="auto"/>
        <w:right w:val="none" w:sz="0" w:space="0" w:color="auto"/>
      </w:divBdr>
    </w:div>
    <w:div w:id="583882239">
      <w:bodyDiv w:val="1"/>
      <w:marLeft w:val="0"/>
      <w:marRight w:val="0"/>
      <w:marTop w:val="0"/>
      <w:marBottom w:val="0"/>
      <w:divBdr>
        <w:top w:val="none" w:sz="0" w:space="0" w:color="auto"/>
        <w:left w:val="none" w:sz="0" w:space="0" w:color="auto"/>
        <w:bottom w:val="none" w:sz="0" w:space="0" w:color="auto"/>
        <w:right w:val="none" w:sz="0" w:space="0" w:color="auto"/>
      </w:divBdr>
    </w:div>
    <w:div w:id="631249156">
      <w:bodyDiv w:val="1"/>
      <w:marLeft w:val="0"/>
      <w:marRight w:val="0"/>
      <w:marTop w:val="0"/>
      <w:marBottom w:val="0"/>
      <w:divBdr>
        <w:top w:val="none" w:sz="0" w:space="0" w:color="auto"/>
        <w:left w:val="none" w:sz="0" w:space="0" w:color="auto"/>
        <w:bottom w:val="none" w:sz="0" w:space="0" w:color="auto"/>
        <w:right w:val="none" w:sz="0" w:space="0" w:color="auto"/>
      </w:divBdr>
    </w:div>
    <w:div w:id="681978613">
      <w:bodyDiv w:val="1"/>
      <w:marLeft w:val="0"/>
      <w:marRight w:val="0"/>
      <w:marTop w:val="0"/>
      <w:marBottom w:val="0"/>
      <w:divBdr>
        <w:top w:val="none" w:sz="0" w:space="0" w:color="auto"/>
        <w:left w:val="none" w:sz="0" w:space="0" w:color="auto"/>
        <w:bottom w:val="none" w:sz="0" w:space="0" w:color="auto"/>
        <w:right w:val="none" w:sz="0" w:space="0" w:color="auto"/>
      </w:divBdr>
    </w:div>
    <w:div w:id="812912474">
      <w:bodyDiv w:val="1"/>
      <w:marLeft w:val="0"/>
      <w:marRight w:val="0"/>
      <w:marTop w:val="0"/>
      <w:marBottom w:val="0"/>
      <w:divBdr>
        <w:top w:val="none" w:sz="0" w:space="0" w:color="auto"/>
        <w:left w:val="none" w:sz="0" w:space="0" w:color="auto"/>
        <w:bottom w:val="none" w:sz="0" w:space="0" w:color="auto"/>
        <w:right w:val="none" w:sz="0" w:space="0" w:color="auto"/>
      </w:divBdr>
    </w:div>
    <w:div w:id="824586026">
      <w:bodyDiv w:val="1"/>
      <w:marLeft w:val="0"/>
      <w:marRight w:val="0"/>
      <w:marTop w:val="0"/>
      <w:marBottom w:val="0"/>
      <w:divBdr>
        <w:top w:val="none" w:sz="0" w:space="0" w:color="auto"/>
        <w:left w:val="none" w:sz="0" w:space="0" w:color="auto"/>
        <w:bottom w:val="none" w:sz="0" w:space="0" w:color="auto"/>
        <w:right w:val="none" w:sz="0" w:space="0" w:color="auto"/>
      </w:divBdr>
    </w:div>
    <w:div w:id="835195561">
      <w:bodyDiv w:val="1"/>
      <w:marLeft w:val="0"/>
      <w:marRight w:val="0"/>
      <w:marTop w:val="0"/>
      <w:marBottom w:val="0"/>
      <w:divBdr>
        <w:top w:val="none" w:sz="0" w:space="0" w:color="auto"/>
        <w:left w:val="none" w:sz="0" w:space="0" w:color="auto"/>
        <w:bottom w:val="none" w:sz="0" w:space="0" w:color="auto"/>
        <w:right w:val="none" w:sz="0" w:space="0" w:color="auto"/>
      </w:divBdr>
      <w:divsChild>
        <w:div w:id="795685892">
          <w:marLeft w:val="0"/>
          <w:marRight w:val="0"/>
          <w:marTop w:val="0"/>
          <w:marBottom w:val="0"/>
          <w:divBdr>
            <w:top w:val="single" w:sz="2" w:space="0" w:color="E3E3E3"/>
            <w:left w:val="single" w:sz="2" w:space="0" w:color="E3E3E3"/>
            <w:bottom w:val="single" w:sz="2" w:space="0" w:color="E3E3E3"/>
            <w:right w:val="single" w:sz="2" w:space="0" w:color="E3E3E3"/>
          </w:divBdr>
          <w:divsChild>
            <w:div w:id="708453390">
              <w:marLeft w:val="0"/>
              <w:marRight w:val="0"/>
              <w:marTop w:val="0"/>
              <w:marBottom w:val="0"/>
              <w:divBdr>
                <w:top w:val="single" w:sz="2" w:space="0" w:color="E3E3E3"/>
                <w:left w:val="single" w:sz="2" w:space="0" w:color="E3E3E3"/>
                <w:bottom w:val="single" w:sz="2" w:space="0" w:color="E3E3E3"/>
                <w:right w:val="single" w:sz="2" w:space="0" w:color="E3E3E3"/>
              </w:divBdr>
              <w:divsChild>
                <w:div w:id="220754409">
                  <w:marLeft w:val="0"/>
                  <w:marRight w:val="0"/>
                  <w:marTop w:val="0"/>
                  <w:marBottom w:val="0"/>
                  <w:divBdr>
                    <w:top w:val="single" w:sz="2" w:space="0" w:color="E3E3E3"/>
                    <w:left w:val="single" w:sz="2" w:space="0" w:color="E3E3E3"/>
                    <w:bottom w:val="single" w:sz="2" w:space="0" w:color="E3E3E3"/>
                    <w:right w:val="single" w:sz="2" w:space="0" w:color="E3E3E3"/>
                  </w:divBdr>
                  <w:divsChild>
                    <w:div w:id="1042751460">
                      <w:marLeft w:val="0"/>
                      <w:marRight w:val="0"/>
                      <w:marTop w:val="0"/>
                      <w:marBottom w:val="0"/>
                      <w:divBdr>
                        <w:top w:val="single" w:sz="2" w:space="0" w:color="E3E3E3"/>
                        <w:left w:val="single" w:sz="2" w:space="0" w:color="E3E3E3"/>
                        <w:bottom w:val="single" w:sz="2" w:space="0" w:color="E3E3E3"/>
                        <w:right w:val="single" w:sz="2" w:space="0" w:color="E3E3E3"/>
                      </w:divBdr>
                      <w:divsChild>
                        <w:div w:id="534272772">
                          <w:marLeft w:val="0"/>
                          <w:marRight w:val="0"/>
                          <w:marTop w:val="0"/>
                          <w:marBottom w:val="0"/>
                          <w:divBdr>
                            <w:top w:val="single" w:sz="2" w:space="0" w:color="E3E3E3"/>
                            <w:left w:val="single" w:sz="2" w:space="0" w:color="E3E3E3"/>
                            <w:bottom w:val="single" w:sz="2" w:space="0" w:color="E3E3E3"/>
                            <w:right w:val="single" w:sz="2" w:space="0" w:color="E3E3E3"/>
                          </w:divBdr>
                          <w:divsChild>
                            <w:div w:id="321275409">
                              <w:marLeft w:val="0"/>
                              <w:marRight w:val="0"/>
                              <w:marTop w:val="100"/>
                              <w:marBottom w:val="100"/>
                              <w:divBdr>
                                <w:top w:val="single" w:sz="2" w:space="0" w:color="E3E3E3"/>
                                <w:left w:val="single" w:sz="2" w:space="0" w:color="E3E3E3"/>
                                <w:bottom w:val="single" w:sz="2" w:space="0" w:color="E3E3E3"/>
                                <w:right w:val="single" w:sz="2" w:space="0" w:color="E3E3E3"/>
                              </w:divBdr>
                              <w:divsChild>
                                <w:div w:id="749355336">
                                  <w:marLeft w:val="0"/>
                                  <w:marRight w:val="0"/>
                                  <w:marTop w:val="0"/>
                                  <w:marBottom w:val="0"/>
                                  <w:divBdr>
                                    <w:top w:val="single" w:sz="2" w:space="0" w:color="E3E3E3"/>
                                    <w:left w:val="single" w:sz="2" w:space="0" w:color="E3E3E3"/>
                                    <w:bottom w:val="single" w:sz="2" w:space="0" w:color="E3E3E3"/>
                                    <w:right w:val="single" w:sz="2" w:space="0" w:color="E3E3E3"/>
                                  </w:divBdr>
                                  <w:divsChild>
                                    <w:div w:id="935096889">
                                      <w:marLeft w:val="0"/>
                                      <w:marRight w:val="0"/>
                                      <w:marTop w:val="0"/>
                                      <w:marBottom w:val="0"/>
                                      <w:divBdr>
                                        <w:top w:val="single" w:sz="2" w:space="0" w:color="E3E3E3"/>
                                        <w:left w:val="single" w:sz="2" w:space="0" w:color="E3E3E3"/>
                                        <w:bottom w:val="single" w:sz="2" w:space="0" w:color="E3E3E3"/>
                                        <w:right w:val="single" w:sz="2" w:space="0" w:color="E3E3E3"/>
                                      </w:divBdr>
                                      <w:divsChild>
                                        <w:div w:id="672340798">
                                          <w:marLeft w:val="0"/>
                                          <w:marRight w:val="0"/>
                                          <w:marTop w:val="0"/>
                                          <w:marBottom w:val="0"/>
                                          <w:divBdr>
                                            <w:top w:val="single" w:sz="2" w:space="0" w:color="E3E3E3"/>
                                            <w:left w:val="single" w:sz="2" w:space="0" w:color="E3E3E3"/>
                                            <w:bottom w:val="single" w:sz="2" w:space="0" w:color="E3E3E3"/>
                                            <w:right w:val="single" w:sz="2" w:space="0" w:color="E3E3E3"/>
                                          </w:divBdr>
                                          <w:divsChild>
                                            <w:div w:id="1957983214">
                                              <w:marLeft w:val="0"/>
                                              <w:marRight w:val="0"/>
                                              <w:marTop w:val="0"/>
                                              <w:marBottom w:val="0"/>
                                              <w:divBdr>
                                                <w:top w:val="single" w:sz="2" w:space="0" w:color="E3E3E3"/>
                                                <w:left w:val="single" w:sz="2" w:space="0" w:color="E3E3E3"/>
                                                <w:bottom w:val="single" w:sz="2" w:space="0" w:color="E3E3E3"/>
                                                <w:right w:val="single" w:sz="2" w:space="0" w:color="E3E3E3"/>
                                              </w:divBdr>
                                              <w:divsChild>
                                                <w:div w:id="2031947336">
                                                  <w:marLeft w:val="0"/>
                                                  <w:marRight w:val="0"/>
                                                  <w:marTop w:val="0"/>
                                                  <w:marBottom w:val="0"/>
                                                  <w:divBdr>
                                                    <w:top w:val="single" w:sz="2" w:space="0" w:color="E3E3E3"/>
                                                    <w:left w:val="single" w:sz="2" w:space="0" w:color="E3E3E3"/>
                                                    <w:bottom w:val="single" w:sz="2" w:space="0" w:color="E3E3E3"/>
                                                    <w:right w:val="single" w:sz="2" w:space="0" w:color="E3E3E3"/>
                                                  </w:divBdr>
                                                  <w:divsChild>
                                                    <w:div w:id="1094866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9565545">
          <w:marLeft w:val="0"/>
          <w:marRight w:val="0"/>
          <w:marTop w:val="0"/>
          <w:marBottom w:val="0"/>
          <w:divBdr>
            <w:top w:val="none" w:sz="0" w:space="0" w:color="auto"/>
            <w:left w:val="none" w:sz="0" w:space="0" w:color="auto"/>
            <w:bottom w:val="none" w:sz="0" w:space="0" w:color="auto"/>
            <w:right w:val="none" w:sz="0" w:space="0" w:color="auto"/>
          </w:divBdr>
        </w:div>
      </w:divsChild>
    </w:div>
    <w:div w:id="846795679">
      <w:bodyDiv w:val="1"/>
      <w:marLeft w:val="0"/>
      <w:marRight w:val="0"/>
      <w:marTop w:val="0"/>
      <w:marBottom w:val="0"/>
      <w:divBdr>
        <w:top w:val="none" w:sz="0" w:space="0" w:color="auto"/>
        <w:left w:val="none" w:sz="0" w:space="0" w:color="auto"/>
        <w:bottom w:val="none" w:sz="0" w:space="0" w:color="auto"/>
        <w:right w:val="none" w:sz="0" w:space="0" w:color="auto"/>
      </w:divBdr>
    </w:div>
    <w:div w:id="852570962">
      <w:bodyDiv w:val="1"/>
      <w:marLeft w:val="0"/>
      <w:marRight w:val="0"/>
      <w:marTop w:val="0"/>
      <w:marBottom w:val="0"/>
      <w:divBdr>
        <w:top w:val="none" w:sz="0" w:space="0" w:color="auto"/>
        <w:left w:val="none" w:sz="0" w:space="0" w:color="auto"/>
        <w:bottom w:val="none" w:sz="0" w:space="0" w:color="auto"/>
        <w:right w:val="none" w:sz="0" w:space="0" w:color="auto"/>
      </w:divBdr>
    </w:div>
    <w:div w:id="861473443">
      <w:bodyDiv w:val="1"/>
      <w:marLeft w:val="0"/>
      <w:marRight w:val="0"/>
      <w:marTop w:val="0"/>
      <w:marBottom w:val="0"/>
      <w:divBdr>
        <w:top w:val="none" w:sz="0" w:space="0" w:color="auto"/>
        <w:left w:val="none" w:sz="0" w:space="0" w:color="auto"/>
        <w:bottom w:val="none" w:sz="0" w:space="0" w:color="auto"/>
        <w:right w:val="none" w:sz="0" w:space="0" w:color="auto"/>
      </w:divBdr>
    </w:div>
    <w:div w:id="910651961">
      <w:bodyDiv w:val="1"/>
      <w:marLeft w:val="0"/>
      <w:marRight w:val="0"/>
      <w:marTop w:val="0"/>
      <w:marBottom w:val="0"/>
      <w:divBdr>
        <w:top w:val="none" w:sz="0" w:space="0" w:color="auto"/>
        <w:left w:val="none" w:sz="0" w:space="0" w:color="auto"/>
        <w:bottom w:val="none" w:sz="0" w:space="0" w:color="auto"/>
        <w:right w:val="none" w:sz="0" w:space="0" w:color="auto"/>
      </w:divBdr>
    </w:div>
    <w:div w:id="921572442">
      <w:bodyDiv w:val="1"/>
      <w:marLeft w:val="0"/>
      <w:marRight w:val="0"/>
      <w:marTop w:val="0"/>
      <w:marBottom w:val="0"/>
      <w:divBdr>
        <w:top w:val="none" w:sz="0" w:space="0" w:color="auto"/>
        <w:left w:val="none" w:sz="0" w:space="0" w:color="auto"/>
        <w:bottom w:val="none" w:sz="0" w:space="0" w:color="auto"/>
        <w:right w:val="none" w:sz="0" w:space="0" w:color="auto"/>
      </w:divBdr>
    </w:div>
    <w:div w:id="959343122">
      <w:bodyDiv w:val="1"/>
      <w:marLeft w:val="0"/>
      <w:marRight w:val="0"/>
      <w:marTop w:val="0"/>
      <w:marBottom w:val="0"/>
      <w:divBdr>
        <w:top w:val="none" w:sz="0" w:space="0" w:color="auto"/>
        <w:left w:val="none" w:sz="0" w:space="0" w:color="auto"/>
        <w:bottom w:val="none" w:sz="0" w:space="0" w:color="auto"/>
        <w:right w:val="none" w:sz="0" w:space="0" w:color="auto"/>
      </w:divBdr>
    </w:div>
    <w:div w:id="985740016">
      <w:bodyDiv w:val="1"/>
      <w:marLeft w:val="0"/>
      <w:marRight w:val="0"/>
      <w:marTop w:val="0"/>
      <w:marBottom w:val="0"/>
      <w:divBdr>
        <w:top w:val="none" w:sz="0" w:space="0" w:color="auto"/>
        <w:left w:val="none" w:sz="0" w:space="0" w:color="auto"/>
        <w:bottom w:val="none" w:sz="0" w:space="0" w:color="auto"/>
        <w:right w:val="none" w:sz="0" w:space="0" w:color="auto"/>
      </w:divBdr>
    </w:div>
    <w:div w:id="1021778941">
      <w:bodyDiv w:val="1"/>
      <w:marLeft w:val="0"/>
      <w:marRight w:val="0"/>
      <w:marTop w:val="0"/>
      <w:marBottom w:val="0"/>
      <w:divBdr>
        <w:top w:val="none" w:sz="0" w:space="0" w:color="auto"/>
        <w:left w:val="none" w:sz="0" w:space="0" w:color="auto"/>
        <w:bottom w:val="none" w:sz="0" w:space="0" w:color="auto"/>
        <w:right w:val="none" w:sz="0" w:space="0" w:color="auto"/>
      </w:divBdr>
    </w:div>
    <w:div w:id="1064376375">
      <w:bodyDiv w:val="1"/>
      <w:marLeft w:val="0"/>
      <w:marRight w:val="0"/>
      <w:marTop w:val="0"/>
      <w:marBottom w:val="0"/>
      <w:divBdr>
        <w:top w:val="none" w:sz="0" w:space="0" w:color="auto"/>
        <w:left w:val="none" w:sz="0" w:space="0" w:color="auto"/>
        <w:bottom w:val="none" w:sz="0" w:space="0" w:color="auto"/>
        <w:right w:val="none" w:sz="0" w:space="0" w:color="auto"/>
      </w:divBdr>
    </w:div>
    <w:div w:id="1080906654">
      <w:bodyDiv w:val="1"/>
      <w:marLeft w:val="0"/>
      <w:marRight w:val="0"/>
      <w:marTop w:val="0"/>
      <w:marBottom w:val="0"/>
      <w:divBdr>
        <w:top w:val="none" w:sz="0" w:space="0" w:color="auto"/>
        <w:left w:val="none" w:sz="0" w:space="0" w:color="auto"/>
        <w:bottom w:val="none" w:sz="0" w:space="0" w:color="auto"/>
        <w:right w:val="none" w:sz="0" w:space="0" w:color="auto"/>
      </w:divBdr>
    </w:div>
    <w:div w:id="1095172399">
      <w:bodyDiv w:val="1"/>
      <w:marLeft w:val="0"/>
      <w:marRight w:val="0"/>
      <w:marTop w:val="0"/>
      <w:marBottom w:val="0"/>
      <w:divBdr>
        <w:top w:val="none" w:sz="0" w:space="0" w:color="auto"/>
        <w:left w:val="none" w:sz="0" w:space="0" w:color="auto"/>
        <w:bottom w:val="none" w:sz="0" w:space="0" w:color="auto"/>
        <w:right w:val="none" w:sz="0" w:space="0" w:color="auto"/>
      </w:divBdr>
    </w:div>
    <w:div w:id="1110246062">
      <w:bodyDiv w:val="1"/>
      <w:marLeft w:val="0"/>
      <w:marRight w:val="0"/>
      <w:marTop w:val="0"/>
      <w:marBottom w:val="0"/>
      <w:divBdr>
        <w:top w:val="none" w:sz="0" w:space="0" w:color="auto"/>
        <w:left w:val="none" w:sz="0" w:space="0" w:color="auto"/>
        <w:bottom w:val="none" w:sz="0" w:space="0" w:color="auto"/>
        <w:right w:val="none" w:sz="0" w:space="0" w:color="auto"/>
      </w:divBdr>
    </w:div>
    <w:div w:id="1110278096">
      <w:bodyDiv w:val="1"/>
      <w:marLeft w:val="0"/>
      <w:marRight w:val="0"/>
      <w:marTop w:val="0"/>
      <w:marBottom w:val="0"/>
      <w:divBdr>
        <w:top w:val="none" w:sz="0" w:space="0" w:color="auto"/>
        <w:left w:val="none" w:sz="0" w:space="0" w:color="auto"/>
        <w:bottom w:val="none" w:sz="0" w:space="0" w:color="auto"/>
        <w:right w:val="none" w:sz="0" w:space="0" w:color="auto"/>
      </w:divBdr>
    </w:div>
    <w:div w:id="1209755585">
      <w:bodyDiv w:val="1"/>
      <w:marLeft w:val="0"/>
      <w:marRight w:val="0"/>
      <w:marTop w:val="0"/>
      <w:marBottom w:val="0"/>
      <w:divBdr>
        <w:top w:val="none" w:sz="0" w:space="0" w:color="auto"/>
        <w:left w:val="none" w:sz="0" w:space="0" w:color="auto"/>
        <w:bottom w:val="none" w:sz="0" w:space="0" w:color="auto"/>
        <w:right w:val="none" w:sz="0" w:space="0" w:color="auto"/>
      </w:divBdr>
    </w:div>
    <w:div w:id="1215501885">
      <w:bodyDiv w:val="1"/>
      <w:marLeft w:val="0"/>
      <w:marRight w:val="0"/>
      <w:marTop w:val="0"/>
      <w:marBottom w:val="0"/>
      <w:divBdr>
        <w:top w:val="none" w:sz="0" w:space="0" w:color="auto"/>
        <w:left w:val="none" w:sz="0" w:space="0" w:color="auto"/>
        <w:bottom w:val="none" w:sz="0" w:space="0" w:color="auto"/>
        <w:right w:val="none" w:sz="0" w:space="0" w:color="auto"/>
      </w:divBdr>
    </w:div>
    <w:div w:id="1235697979">
      <w:bodyDiv w:val="1"/>
      <w:marLeft w:val="0"/>
      <w:marRight w:val="0"/>
      <w:marTop w:val="0"/>
      <w:marBottom w:val="0"/>
      <w:divBdr>
        <w:top w:val="none" w:sz="0" w:space="0" w:color="auto"/>
        <w:left w:val="none" w:sz="0" w:space="0" w:color="auto"/>
        <w:bottom w:val="none" w:sz="0" w:space="0" w:color="auto"/>
        <w:right w:val="none" w:sz="0" w:space="0" w:color="auto"/>
      </w:divBdr>
    </w:div>
    <w:div w:id="1277635647">
      <w:bodyDiv w:val="1"/>
      <w:marLeft w:val="0"/>
      <w:marRight w:val="0"/>
      <w:marTop w:val="0"/>
      <w:marBottom w:val="0"/>
      <w:divBdr>
        <w:top w:val="none" w:sz="0" w:space="0" w:color="auto"/>
        <w:left w:val="none" w:sz="0" w:space="0" w:color="auto"/>
        <w:bottom w:val="none" w:sz="0" w:space="0" w:color="auto"/>
        <w:right w:val="none" w:sz="0" w:space="0" w:color="auto"/>
      </w:divBdr>
    </w:div>
    <w:div w:id="1310401376">
      <w:bodyDiv w:val="1"/>
      <w:marLeft w:val="0"/>
      <w:marRight w:val="0"/>
      <w:marTop w:val="0"/>
      <w:marBottom w:val="0"/>
      <w:divBdr>
        <w:top w:val="none" w:sz="0" w:space="0" w:color="auto"/>
        <w:left w:val="none" w:sz="0" w:space="0" w:color="auto"/>
        <w:bottom w:val="none" w:sz="0" w:space="0" w:color="auto"/>
        <w:right w:val="none" w:sz="0" w:space="0" w:color="auto"/>
      </w:divBdr>
    </w:div>
    <w:div w:id="1318265980">
      <w:bodyDiv w:val="1"/>
      <w:marLeft w:val="0"/>
      <w:marRight w:val="0"/>
      <w:marTop w:val="0"/>
      <w:marBottom w:val="0"/>
      <w:divBdr>
        <w:top w:val="none" w:sz="0" w:space="0" w:color="auto"/>
        <w:left w:val="none" w:sz="0" w:space="0" w:color="auto"/>
        <w:bottom w:val="none" w:sz="0" w:space="0" w:color="auto"/>
        <w:right w:val="none" w:sz="0" w:space="0" w:color="auto"/>
      </w:divBdr>
    </w:div>
    <w:div w:id="1353337952">
      <w:bodyDiv w:val="1"/>
      <w:marLeft w:val="0"/>
      <w:marRight w:val="0"/>
      <w:marTop w:val="0"/>
      <w:marBottom w:val="0"/>
      <w:divBdr>
        <w:top w:val="none" w:sz="0" w:space="0" w:color="auto"/>
        <w:left w:val="none" w:sz="0" w:space="0" w:color="auto"/>
        <w:bottom w:val="none" w:sz="0" w:space="0" w:color="auto"/>
        <w:right w:val="none" w:sz="0" w:space="0" w:color="auto"/>
      </w:divBdr>
    </w:div>
    <w:div w:id="1437359892">
      <w:bodyDiv w:val="1"/>
      <w:marLeft w:val="0"/>
      <w:marRight w:val="0"/>
      <w:marTop w:val="0"/>
      <w:marBottom w:val="0"/>
      <w:divBdr>
        <w:top w:val="none" w:sz="0" w:space="0" w:color="auto"/>
        <w:left w:val="none" w:sz="0" w:space="0" w:color="auto"/>
        <w:bottom w:val="none" w:sz="0" w:space="0" w:color="auto"/>
        <w:right w:val="none" w:sz="0" w:space="0" w:color="auto"/>
      </w:divBdr>
    </w:div>
    <w:div w:id="1444614474">
      <w:bodyDiv w:val="1"/>
      <w:marLeft w:val="0"/>
      <w:marRight w:val="0"/>
      <w:marTop w:val="0"/>
      <w:marBottom w:val="0"/>
      <w:divBdr>
        <w:top w:val="none" w:sz="0" w:space="0" w:color="auto"/>
        <w:left w:val="none" w:sz="0" w:space="0" w:color="auto"/>
        <w:bottom w:val="none" w:sz="0" w:space="0" w:color="auto"/>
        <w:right w:val="none" w:sz="0" w:space="0" w:color="auto"/>
      </w:divBdr>
    </w:div>
    <w:div w:id="1453015354">
      <w:bodyDiv w:val="1"/>
      <w:marLeft w:val="0"/>
      <w:marRight w:val="0"/>
      <w:marTop w:val="0"/>
      <w:marBottom w:val="0"/>
      <w:divBdr>
        <w:top w:val="none" w:sz="0" w:space="0" w:color="auto"/>
        <w:left w:val="none" w:sz="0" w:space="0" w:color="auto"/>
        <w:bottom w:val="none" w:sz="0" w:space="0" w:color="auto"/>
        <w:right w:val="none" w:sz="0" w:space="0" w:color="auto"/>
      </w:divBdr>
    </w:div>
    <w:div w:id="1471896216">
      <w:bodyDiv w:val="1"/>
      <w:marLeft w:val="0"/>
      <w:marRight w:val="0"/>
      <w:marTop w:val="0"/>
      <w:marBottom w:val="0"/>
      <w:divBdr>
        <w:top w:val="none" w:sz="0" w:space="0" w:color="auto"/>
        <w:left w:val="none" w:sz="0" w:space="0" w:color="auto"/>
        <w:bottom w:val="none" w:sz="0" w:space="0" w:color="auto"/>
        <w:right w:val="none" w:sz="0" w:space="0" w:color="auto"/>
      </w:divBdr>
    </w:div>
    <w:div w:id="1517771019">
      <w:bodyDiv w:val="1"/>
      <w:marLeft w:val="0"/>
      <w:marRight w:val="0"/>
      <w:marTop w:val="0"/>
      <w:marBottom w:val="0"/>
      <w:divBdr>
        <w:top w:val="none" w:sz="0" w:space="0" w:color="auto"/>
        <w:left w:val="none" w:sz="0" w:space="0" w:color="auto"/>
        <w:bottom w:val="none" w:sz="0" w:space="0" w:color="auto"/>
        <w:right w:val="none" w:sz="0" w:space="0" w:color="auto"/>
      </w:divBdr>
    </w:div>
    <w:div w:id="1526097116">
      <w:bodyDiv w:val="1"/>
      <w:marLeft w:val="0"/>
      <w:marRight w:val="0"/>
      <w:marTop w:val="0"/>
      <w:marBottom w:val="0"/>
      <w:divBdr>
        <w:top w:val="none" w:sz="0" w:space="0" w:color="auto"/>
        <w:left w:val="none" w:sz="0" w:space="0" w:color="auto"/>
        <w:bottom w:val="none" w:sz="0" w:space="0" w:color="auto"/>
        <w:right w:val="none" w:sz="0" w:space="0" w:color="auto"/>
      </w:divBdr>
    </w:div>
    <w:div w:id="1545294852">
      <w:bodyDiv w:val="1"/>
      <w:marLeft w:val="0"/>
      <w:marRight w:val="0"/>
      <w:marTop w:val="0"/>
      <w:marBottom w:val="0"/>
      <w:divBdr>
        <w:top w:val="none" w:sz="0" w:space="0" w:color="auto"/>
        <w:left w:val="none" w:sz="0" w:space="0" w:color="auto"/>
        <w:bottom w:val="none" w:sz="0" w:space="0" w:color="auto"/>
        <w:right w:val="none" w:sz="0" w:space="0" w:color="auto"/>
      </w:divBdr>
    </w:div>
    <w:div w:id="1575625508">
      <w:bodyDiv w:val="1"/>
      <w:marLeft w:val="0"/>
      <w:marRight w:val="0"/>
      <w:marTop w:val="0"/>
      <w:marBottom w:val="0"/>
      <w:divBdr>
        <w:top w:val="none" w:sz="0" w:space="0" w:color="auto"/>
        <w:left w:val="none" w:sz="0" w:space="0" w:color="auto"/>
        <w:bottom w:val="none" w:sz="0" w:space="0" w:color="auto"/>
        <w:right w:val="none" w:sz="0" w:space="0" w:color="auto"/>
      </w:divBdr>
    </w:div>
    <w:div w:id="1699231340">
      <w:bodyDiv w:val="1"/>
      <w:marLeft w:val="0"/>
      <w:marRight w:val="0"/>
      <w:marTop w:val="0"/>
      <w:marBottom w:val="0"/>
      <w:divBdr>
        <w:top w:val="none" w:sz="0" w:space="0" w:color="auto"/>
        <w:left w:val="none" w:sz="0" w:space="0" w:color="auto"/>
        <w:bottom w:val="none" w:sz="0" w:space="0" w:color="auto"/>
        <w:right w:val="none" w:sz="0" w:space="0" w:color="auto"/>
      </w:divBdr>
    </w:div>
    <w:div w:id="1702047750">
      <w:bodyDiv w:val="1"/>
      <w:marLeft w:val="0"/>
      <w:marRight w:val="0"/>
      <w:marTop w:val="0"/>
      <w:marBottom w:val="0"/>
      <w:divBdr>
        <w:top w:val="none" w:sz="0" w:space="0" w:color="auto"/>
        <w:left w:val="none" w:sz="0" w:space="0" w:color="auto"/>
        <w:bottom w:val="none" w:sz="0" w:space="0" w:color="auto"/>
        <w:right w:val="none" w:sz="0" w:space="0" w:color="auto"/>
      </w:divBdr>
      <w:divsChild>
        <w:div w:id="1862277803">
          <w:marLeft w:val="0"/>
          <w:marRight w:val="0"/>
          <w:marTop w:val="0"/>
          <w:marBottom w:val="0"/>
          <w:divBdr>
            <w:top w:val="single" w:sz="2" w:space="0" w:color="E3E3E3"/>
            <w:left w:val="single" w:sz="2" w:space="0" w:color="E3E3E3"/>
            <w:bottom w:val="single" w:sz="2" w:space="0" w:color="E3E3E3"/>
            <w:right w:val="single" w:sz="2" w:space="0" w:color="E3E3E3"/>
          </w:divBdr>
          <w:divsChild>
            <w:div w:id="1367295557">
              <w:marLeft w:val="0"/>
              <w:marRight w:val="0"/>
              <w:marTop w:val="0"/>
              <w:marBottom w:val="0"/>
              <w:divBdr>
                <w:top w:val="single" w:sz="2" w:space="0" w:color="E3E3E3"/>
                <w:left w:val="single" w:sz="2" w:space="0" w:color="E3E3E3"/>
                <w:bottom w:val="single" w:sz="2" w:space="0" w:color="E3E3E3"/>
                <w:right w:val="single" w:sz="2" w:space="0" w:color="E3E3E3"/>
              </w:divBdr>
              <w:divsChild>
                <w:div w:id="1802503127">
                  <w:marLeft w:val="0"/>
                  <w:marRight w:val="0"/>
                  <w:marTop w:val="0"/>
                  <w:marBottom w:val="0"/>
                  <w:divBdr>
                    <w:top w:val="single" w:sz="2" w:space="0" w:color="E3E3E3"/>
                    <w:left w:val="single" w:sz="2" w:space="0" w:color="E3E3E3"/>
                    <w:bottom w:val="single" w:sz="2" w:space="0" w:color="E3E3E3"/>
                    <w:right w:val="single" w:sz="2" w:space="0" w:color="E3E3E3"/>
                  </w:divBdr>
                  <w:divsChild>
                    <w:div w:id="2090733512">
                      <w:marLeft w:val="0"/>
                      <w:marRight w:val="0"/>
                      <w:marTop w:val="0"/>
                      <w:marBottom w:val="0"/>
                      <w:divBdr>
                        <w:top w:val="single" w:sz="2" w:space="0" w:color="E3E3E3"/>
                        <w:left w:val="single" w:sz="2" w:space="0" w:color="E3E3E3"/>
                        <w:bottom w:val="single" w:sz="2" w:space="0" w:color="E3E3E3"/>
                        <w:right w:val="single" w:sz="2" w:space="0" w:color="E3E3E3"/>
                      </w:divBdr>
                      <w:divsChild>
                        <w:div w:id="91778102">
                          <w:marLeft w:val="0"/>
                          <w:marRight w:val="0"/>
                          <w:marTop w:val="0"/>
                          <w:marBottom w:val="0"/>
                          <w:divBdr>
                            <w:top w:val="single" w:sz="2" w:space="0" w:color="E3E3E3"/>
                            <w:left w:val="single" w:sz="2" w:space="0" w:color="E3E3E3"/>
                            <w:bottom w:val="single" w:sz="2" w:space="0" w:color="E3E3E3"/>
                            <w:right w:val="single" w:sz="2" w:space="0" w:color="E3E3E3"/>
                          </w:divBdr>
                          <w:divsChild>
                            <w:div w:id="460348369">
                              <w:marLeft w:val="0"/>
                              <w:marRight w:val="0"/>
                              <w:marTop w:val="100"/>
                              <w:marBottom w:val="100"/>
                              <w:divBdr>
                                <w:top w:val="single" w:sz="2" w:space="0" w:color="E3E3E3"/>
                                <w:left w:val="single" w:sz="2" w:space="0" w:color="E3E3E3"/>
                                <w:bottom w:val="single" w:sz="2" w:space="0" w:color="E3E3E3"/>
                                <w:right w:val="single" w:sz="2" w:space="0" w:color="E3E3E3"/>
                              </w:divBdr>
                              <w:divsChild>
                                <w:div w:id="1487240215">
                                  <w:marLeft w:val="0"/>
                                  <w:marRight w:val="0"/>
                                  <w:marTop w:val="0"/>
                                  <w:marBottom w:val="0"/>
                                  <w:divBdr>
                                    <w:top w:val="single" w:sz="2" w:space="0" w:color="E3E3E3"/>
                                    <w:left w:val="single" w:sz="2" w:space="0" w:color="E3E3E3"/>
                                    <w:bottom w:val="single" w:sz="2" w:space="0" w:color="E3E3E3"/>
                                    <w:right w:val="single" w:sz="2" w:space="0" w:color="E3E3E3"/>
                                  </w:divBdr>
                                  <w:divsChild>
                                    <w:div w:id="946228669">
                                      <w:marLeft w:val="0"/>
                                      <w:marRight w:val="0"/>
                                      <w:marTop w:val="0"/>
                                      <w:marBottom w:val="0"/>
                                      <w:divBdr>
                                        <w:top w:val="single" w:sz="2" w:space="0" w:color="E3E3E3"/>
                                        <w:left w:val="single" w:sz="2" w:space="0" w:color="E3E3E3"/>
                                        <w:bottom w:val="single" w:sz="2" w:space="0" w:color="E3E3E3"/>
                                        <w:right w:val="single" w:sz="2" w:space="0" w:color="E3E3E3"/>
                                      </w:divBdr>
                                      <w:divsChild>
                                        <w:div w:id="556820712">
                                          <w:marLeft w:val="0"/>
                                          <w:marRight w:val="0"/>
                                          <w:marTop w:val="0"/>
                                          <w:marBottom w:val="0"/>
                                          <w:divBdr>
                                            <w:top w:val="single" w:sz="2" w:space="0" w:color="E3E3E3"/>
                                            <w:left w:val="single" w:sz="2" w:space="0" w:color="E3E3E3"/>
                                            <w:bottom w:val="single" w:sz="2" w:space="0" w:color="E3E3E3"/>
                                            <w:right w:val="single" w:sz="2" w:space="0" w:color="E3E3E3"/>
                                          </w:divBdr>
                                          <w:divsChild>
                                            <w:div w:id="615645562">
                                              <w:marLeft w:val="0"/>
                                              <w:marRight w:val="0"/>
                                              <w:marTop w:val="0"/>
                                              <w:marBottom w:val="0"/>
                                              <w:divBdr>
                                                <w:top w:val="single" w:sz="2" w:space="0" w:color="E3E3E3"/>
                                                <w:left w:val="single" w:sz="2" w:space="0" w:color="E3E3E3"/>
                                                <w:bottom w:val="single" w:sz="2" w:space="0" w:color="E3E3E3"/>
                                                <w:right w:val="single" w:sz="2" w:space="0" w:color="E3E3E3"/>
                                              </w:divBdr>
                                              <w:divsChild>
                                                <w:div w:id="984896452">
                                                  <w:marLeft w:val="0"/>
                                                  <w:marRight w:val="0"/>
                                                  <w:marTop w:val="0"/>
                                                  <w:marBottom w:val="0"/>
                                                  <w:divBdr>
                                                    <w:top w:val="single" w:sz="2" w:space="0" w:color="E3E3E3"/>
                                                    <w:left w:val="single" w:sz="2" w:space="0" w:color="E3E3E3"/>
                                                    <w:bottom w:val="single" w:sz="2" w:space="0" w:color="E3E3E3"/>
                                                    <w:right w:val="single" w:sz="2" w:space="0" w:color="E3E3E3"/>
                                                  </w:divBdr>
                                                  <w:divsChild>
                                                    <w:div w:id="2103843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95511092">
          <w:marLeft w:val="0"/>
          <w:marRight w:val="0"/>
          <w:marTop w:val="0"/>
          <w:marBottom w:val="0"/>
          <w:divBdr>
            <w:top w:val="none" w:sz="0" w:space="0" w:color="auto"/>
            <w:left w:val="none" w:sz="0" w:space="0" w:color="auto"/>
            <w:bottom w:val="none" w:sz="0" w:space="0" w:color="auto"/>
            <w:right w:val="none" w:sz="0" w:space="0" w:color="auto"/>
          </w:divBdr>
        </w:div>
      </w:divsChild>
    </w:div>
    <w:div w:id="1703676282">
      <w:bodyDiv w:val="1"/>
      <w:marLeft w:val="0"/>
      <w:marRight w:val="0"/>
      <w:marTop w:val="0"/>
      <w:marBottom w:val="0"/>
      <w:divBdr>
        <w:top w:val="none" w:sz="0" w:space="0" w:color="auto"/>
        <w:left w:val="none" w:sz="0" w:space="0" w:color="auto"/>
        <w:bottom w:val="none" w:sz="0" w:space="0" w:color="auto"/>
        <w:right w:val="none" w:sz="0" w:space="0" w:color="auto"/>
      </w:divBdr>
    </w:div>
    <w:div w:id="1731034284">
      <w:bodyDiv w:val="1"/>
      <w:marLeft w:val="0"/>
      <w:marRight w:val="0"/>
      <w:marTop w:val="0"/>
      <w:marBottom w:val="0"/>
      <w:divBdr>
        <w:top w:val="none" w:sz="0" w:space="0" w:color="auto"/>
        <w:left w:val="none" w:sz="0" w:space="0" w:color="auto"/>
        <w:bottom w:val="none" w:sz="0" w:space="0" w:color="auto"/>
        <w:right w:val="none" w:sz="0" w:space="0" w:color="auto"/>
      </w:divBdr>
    </w:div>
    <w:div w:id="1803882777">
      <w:bodyDiv w:val="1"/>
      <w:marLeft w:val="0"/>
      <w:marRight w:val="0"/>
      <w:marTop w:val="0"/>
      <w:marBottom w:val="0"/>
      <w:divBdr>
        <w:top w:val="none" w:sz="0" w:space="0" w:color="auto"/>
        <w:left w:val="none" w:sz="0" w:space="0" w:color="auto"/>
        <w:bottom w:val="none" w:sz="0" w:space="0" w:color="auto"/>
        <w:right w:val="none" w:sz="0" w:space="0" w:color="auto"/>
      </w:divBdr>
    </w:div>
    <w:div w:id="1963530836">
      <w:bodyDiv w:val="1"/>
      <w:marLeft w:val="0"/>
      <w:marRight w:val="0"/>
      <w:marTop w:val="0"/>
      <w:marBottom w:val="0"/>
      <w:divBdr>
        <w:top w:val="none" w:sz="0" w:space="0" w:color="auto"/>
        <w:left w:val="none" w:sz="0" w:space="0" w:color="auto"/>
        <w:bottom w:val="none" w:sz="0" w:space="0" w:color="auto"/>
        <w:right w:val="none" w:sz="0" w:space="0" w:color="auto"/>
      </w:divBdr>
    </w:div>
    <w:div w:id="1977832552">
      <w:bodyDiv w:val="1"/>
      <w:marLeft w:val="0"/>
      <w:marRight w:val="0"/>
      <w:marTop w:val="0"/>
      <w:marBottom w:val="0"/>
      <w:divBdr>
        <w:top w:val="none" w:sz="0" w:space="0" w:color="auto"/>
        <w:left w:val="none" w:sz="0" w:space="0" w:color="auto"/>
        <w:bottom w:val="none" w:sz="0" w:space="0" w:color="auto"/>
        <w:right w:val="none" w:sz="0" w:space="0" w:color="auto"/>
      </w:divBdr>
    </w:div>
    <w:div w:id="1989898319">
      <w:bodyDiv w:val="1"/>
      <w:marLeft w:val="0"/>
      <w:marRight w:val="0"/>
      <w:marTop w:val="0"/>
      <w:marBottom w:val="0"/>
      <w:divBdr>
        <w:top w:val="none" w:sz="0" w:space="0" w:color="auto"/>
        <w:left w:val="none" w:sz="0" w:space="0" w:color="auto"/>
        <w:bottom w:val="none" w:sz="0" w:space="0" w:color="auto"/>
        <w:right w:val="none" w:sz="0" w:space="0" w:color="auto"/>
      </w:divBdr>
    </w:div>
    <w:div w:id="2001031558">
      <w:bodyDiv w:val="1"/>
      <w:marLeft w:val="0"/>
      <w:marRight w:val="0"/>
      <w:marTop w:val="0"/>
      <w:marBottom w:val="0"/>
      <w:divBdr>
        <w:top w:val="none" w:sz="0" w:space="0" w:color="auto"/>
        <w:left w:val="none" w:sz="0" w:space="0" w:color="auto"/>
        <w:bottom w:val="none" w:sz="0" w:space="0" w:color="auto"/>
        <w:right w:val="none" w:sz="0" w:space="0" w:color="auto"/>
      </w:divBdr>
    </w:div>
    <w:div w:id="2008628019">
      <w:bodyDiv w:val="1"/>
      <w:marLeft w:val="0"/>
      <w:marRight w:val="0"/>
      <w:marTop w:val="0"/>
      <w:marBottom w:val="0"/>
      <w:divBdr>
        <w:top w:val="none" w:sz="0" w:space="0" w:color="auto"/>
        <w:left w:val="none" w:sz="0" w:space="0" w:color="auto"/>
        <w:bottom w:val="none" w:sz="0" w:space="0" w:color="auto"/>
        <w:right w:val="none" w:sz="0" w:space="0" w:color="auto"/>
      </w:divBdr>
    </w:div>
    <w:div w:id="2083552973">
      <w:bodyDiv w:val="1"/>
      <w:marLeft w:val="0"/>
      <w:marRight w:val="0"/>
      <w:marTop w:val="0"/>
      <w:marBottom w:val="0"/>
      <w:divBdr>
        <w:top w:val="none" w:sz="0" w:space="0" w:color="auto"/>
        <w:left w:val="none" w:sz="0" w:space="0" w:color="auto"/>
        <w:bottom w:val="none" w:sz="0" w:space="0" w:color="auto"/>
        <w:right w:val="none" w:sz="0" w:space="0" w:color="auto"/>
      </w:divBdr>
    </w:div>
    <w:div w:id="211982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41B05-BF91-1746-956D-528FB9C0E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Pages>
  <Words>4344</Words>
  <Characters>24766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SOLOMON</dc:creator>
  <cp:keywords/>
  <dc:description/>
  <cp:lastModifiedBy>Emilia Binchiciu</cp:lastModifiedBy>
  <cp:revision>42</cp:revision>
  <cp:lastPrinted>2025-10-31T15:31:00Z</cp:lastPrinted>
  <dcterms:created xsi:type="dcterms:W3CDTF">2023-11-22T10:59:00Z</dcterms:created>
  <dcterms:modified xsi:type="dcterms:W3CDTF">2025-10-31T15:32:00Z</dcterms:modified>
</cp:coreProperties>
</file>