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ptos" w:cs="Aptos" w:eastAsia="Aptos" w:hAnsi="Aptos"/>
          <w:b w:val="1"/>
          <w:sz w:val="36"/>
          <w:szCs w:val="36"/>
        </w:rPr>
      </w:pPr>
      <w:r w:rsidDel="00000000" w:rsidR="00000000" w:rsidRPr="00000000">
        <w:rPr>
          <w:rFonts w:ascii="Aptos" w:cs="Aptos" w:eastAsia="Aptos" w:hAnsi="Aptos"/>
          <w:b w:val="1"/>
          <w:sz w:val="36"/>
          <w:szCs w:val="36"/>
          <w:rtl w:val="0"/>
        </w:rPr>
        <w:t xml:space="preserve">Policy recommendation</w:t>
      </w:r>
    </w:p>
    <w:p w:rsidR="00000000" w:rsidDel="00000000" w:rsidP="00000000" w:rsidRDefault="00000000" w:rsidRPr="00000000" w14:paraId="00000002">
      <w:pPr>
        <w:ind w:left="744" w:hanging="384"/>
        <w:rPr>
          <w:sz w:val="26"/>
          <w:szCs w:val="26"/>
        </w:rPr>
      </w:pPr>
      <w:r w:rsidDel="00000000" w:rsidR="00000000" w:rsidRPr="00000000">
        <w:rPr>
          <w:rtl w:val="0"/>
        </w:rPr>
      </w:r>
    </w:p>
    <w:p w:rsidR="00000000" w:rsidDel="00000000" w:rsidP="00000000" w:rsidRDefault="00000000" w:rsidRPr="00000000" w14:paraId="00000003">
      <w:pPr>
        <w:jc w:val="both"/>
        <w:rPr>
          <w:b w:val="1"/>
          <w:sz w:val="26"/>
          <w:szCs w:val="26"/>
        </w:rPr>
      </w:pPr>
      <w:r w:rsidDel="00000000" w:rsidR="00000000" w:rsidRPr="00000000">
        <w:rPr>
          <w:b w:val="1"/>
          <w:sz w:val="26"/>
          <w:szCs w:val="26"/>
          <w:rtl w:val="0"/>
        </w:rPr>
        <w:t xml:space="preserve">Executive summary</w:t>
      </w:r>
    </w:p>
    <w:p w:rsidR="00000000" w:rsidDel="00000000" w:rsidP="00000000" w:rsidRDefault="00000000" w:rsidRPr="00000000" w14:paraId="00000004">
      <w:pPr>
        <w:jc w:val="both"/>
        <w:rPr>
          <w:sz w:val="26"/>
          <w:szCs w:val="26"/>
        </w:rPr>
      </w:pPr>
      <w:r w:rsidDel="00000000" w:rsidR="00000000" w:rsidRPr="00000000">
        <w:rPr>
          <w:sz w:val="26"/>
          <w:szCs w:val="26"/>
          <w:rtl w:val="0"/>
        </w:rPr>
        <w:t xml:space="preserve">Predictive Europe can no longer afford the gap between what is taught and what is done. As factories become cyber-physical and classrooms go hybrid, the most effective path forward is to unite them through Work-Based Learning Teaching Factories (WBLTF). In a WBLTF model, learners tackle live industrial challenges with deep-tech tools (AI and machine learning for predictive maintenance, edge computing, AR/VR, collaborative robotics, and lifecycle analysis), while earning stackable micro-credentials that employers recognize. This recommendation offers a coherent, outcomes-driven way for Member States, regions, and social partners to scale dual education using WBLTF. It sets clear objectives, a practical pedagogy, a hybrid architecture, and a governance and funding model that rewards verified results on employability, productivity, sustainability, safety, and inclusion.</w:t>
      </w:r>
    </w:p>
    <w:p w:rsidR="00000000" w:rsidDel="00000000" w:rsidP="00000000" w:rsidRDefault="00000000" w:rsidRPr="00000000" w14:paraId="00000005">
      <w:pPr>
        <w:jc w:val="both"/>
        <w:rPr>
          <w:b w:val="1"/>
          <w:sz w:val="26"/>
          <w:szCs w:val="26"/>
        </w:rPr>
      </w:pPr>
      <w:r w:rsidDel="00000000" w:rsidR="00000000" w:rsidRPr="00000000">
        <w:rPr>
          <w:b w:val="1"/>
          <w:sz w:val="26"/>
          <w:szCs w:val="26"/>
          <w:rtl w:val="0"/>
        </w:rPr>
        <w:t xml:space="preserve">1. Why WBLTF now</w:t>
      </w:r>
    </w:p>
    <w:p w:rsidR="00000000" w:rsidDel="00000000" w:rsidP="00000000" w:rsidRDefault="00000000" w:rsidRPr="00000000" w14:paraId="00000006">
      <w:pPr>
        <w:jc w:val="both"/>
        <w:rPr>
          <w:sz w:val="26"/>
          <w:szCs w:val="26"/>
        </w:rPr>
      </w:pPr>
      <w:r w:rsidDel="00000000" w:rsidR="00000000" w:rsidRPr="00000000">
        <w:rPr>
          <w:sz w:val="26"/>
          <w:szCs w:val="26"/>
          <w:rtl w:val="0"/>
        </w:rPr>
        <w:t xml:space="preserve">The world of work and the world of learning have both gone hybrid. Plants run with sensors, analytics, and remote operations; students learn across classrooms, labs, and screens. WBLTF brings these worlds together deliberately. Deep tech is reshaping maintenance and operations, and competence cannot be built by lecture alone. At the same time, environmental and social expectations, from energy and emissions to safety and cyber resilience, demand competencies proven in context, not merely certified on paper. SMEs, especially, need graduates who become productive quickly. WBLTF shortens that path by letting learners practice on the very workflows they will use on day one.</w:t>
      </w:r>
    </w:p>
    <w:p w:rsidR="00000000" w:rsidDel="00000000" w:rsidP="00000000" w:rsidRDefault="00000000" w:rsidRPr="00000000" w14:paraId="00000007">
      <w:pPr>
        <w:jc w:val="both"/>
        <w:rPr>
          <w:b w:val="1"/>
          <w:sz w:val="26"/>
          <w:szCs w:val="26"/>
        </w:rPr>
      </w:pPr>
      <w:r w:rsidDel="00000000" w:rsidR="00000000" w:rsidRPr="00000000">
        <w:rPr>
          <w:b w:val="1"/>
          <w:sz w:val="26"/>
          <w:szCs w:val="26"/>
          <w:rtl w:val="0"/>
        </w:rPr>
        <w:t xml:space="preserve">2. Policy objectives</w:t>
      </w:r>
    </w:p>
    <w:p w:rsidR="00000000" w:rsidDel="00000000" w:rsidP="00000000" w:rsidRDefault="00000000" w:rsidRPr="00000000" w14:paraId="00000008">
      <w:pPr>
        <w:jc w:val="both"/>
        <w:rPr>
          <w:sz w:val="26"/>
          <w:szCs w:val="26"/>
        </w:rPr>
      </w:pPr>
      <w:r w:rsidDel="00000000" w:rsidR="00000000" w:rsidRPr="00000000">
        <w:rPr>
          <w:sz w:val="26"/>
          <w:szCs w:val="26"/>
          <w:rtl w:val="0"/>
        </w:rPr>
        <w:t xml:space="preserve">The objectives are straightforward and mutually reinforcing. First, embed challenge-driven, hybrid dual education within VET and higher VET through WBLTF, tightly linked to regional industrial priorities. Second, build a modular, stackable micro-credential system that certifies real, work-based competencies for Industry 4.0, with a strong focus on predictive maintenance and sustainability. Third, ensure equitable access by lowering barriers for SMEs and widening participation among underrepresented groups. Fourth, put quality, safety, and cybersecurity at the core. Fifth, link funding and procurement to outcomes that can be verified. Finally, keep the system interoperable so it scales across sectors and avoids vendor lock-in.</w:t>
      </w:r>
    </w:p>
    <w:p w:rsidR="00000000" w:rsidDel="00000000" w:rsidP="00000000" w:rsidRDefault="00000000" w:rsidRPr="00000000" w14:paraId="00000009">
      <w:pPr>
        <w:jc w:val="both"/>
        <w:rPr>
          <w:b w:val="1"/>
          <w:sz w:val="26"/>
          <w:szCs w:val="26"/>
        </w:rPr>
      </w:pPr>
      <w:r w:rsidDel="00000000" w:rsidR="00000000" w:rsidRPr="00000000">
        <w:rPr>
          <w:b w:val="1"/>
          <w:sz w:val="26"/>
          <w:szCs w:val="26"/>
          <w:rtl w:val="0"/>
        </w:rPr>
        <w:t xml:space="preserve">3. The WBLTF model in practice</w:t>
      </w:r>
    </w:p>
    <w:p w:rsidR="00000000" w:rsidDel="00000000" w:rsidP="00000000" w:rsidRDefault="00000000" w:rsidRPr="00000000" w14:paraId="0000000A">
      <w:pPr>
        <w:jc w:val="both"/>
        <w:rPr>
          <w:sz w:val="26"/>
          <w:szCs w:val="26"/>
        </w:rPr>
      </w:pPr>
      <w:r w:rsidDel="00000000" w:rsidR="00000000" w:rsidRPr="00000000">
        <w:rPr>
          <w:sz w:val="26"/>
          <w:szCs w:val="26"/>
          <w:rtl w:val="0"/>
        </w:rPr>
        <w:t xml:space="preserve">At its heart, WBLTF balances classroom knowledge with paid, mentored experience in real factory contexts. Learning is delivered in hybrid form, mixing on-site labs and shop-floor time with remote labs, AR/VR, digital twins, and collaborative platforms. The curriculum is built around authentic industry challenges that define what learners must master, and micro-credentials capture those competencies in transparent, bite-sized units. Teaching is project-based and collaborative, with hands-on work, role-playing, and structured reflection. Predictive maintenance serves as a unifying thread, because it touches data, automation, safety, and sustainability all at once.</w:t>
      </w:r>
    </w:p>
    <w:p w:rsidR="00000000" w:rsidDel="00000000" w:rsidP="00000000" w:rsidRDefault="00000000" w:rsidRPr="00000000" w14:paraId="0000000B">
      <w:pPr>
        <w:jc w:val="both"/>
        <w:rPr>
          <w:b w:val="1"/>
          <w:sz w:val="26"/>
          <w:szCs w:val="26"/>
        </w:rPr>
      </w:pPr>
      <w:r w:rsidDel="00000000" w:rsidR="00000000" w:rsidRPr="00000000">
        <w:rPr>
          <w:b w:val="1"/>
          <w:sz w:val="26"/>
          <w:szCs w:val="26"/>
          <w:rtl w:val="0"/>
        </w:rPr>
        <w:t xml:space="preserve">4. A six-phase pedagogical flow</w:t>
      </w:r>
    </w:p>
    <w:p w:rsidR="00000000" w:rsidDel="00000000" w:rsidP="00000000" w:rsidRDefault="00000000" w:rsidRPr="00000000" w14:paraId="0000000C">
      <w:pPr>
        <w:jc w:val="both"/>
        <w:rPr>
          <w:sz w:val="26"/>
          <w:szCs w:val="26"/>
        </w:rPr>
      </w:pPr>
      <w:r w:rsidDel="00000000" w:rsidR="00000000" w:rsidRPr="00000000">
        <w:rPr>
          <w:sz w:val="26"/>
          <w:szCs w:val="26"/>
          <w:rtl w:val="0"/>
        </w:rPr>
        <w:t xml:space="preserve">The learning journey flows through six phases. It begins by selecting a real industrial challenge and breaking it into solvable sub-tasks that matter to operations and to ESG outcomes. The curriculum then takes shape through micro-credentials with clear prerequisites and pathways aligned to national and European frameworks. Learners enter execution mode with data acquisition, prototyping, and iteration, guided by academic supervisors and industry mentors who provide timely feedback. Institutions prepare the hybrid infrastructure (remote access, AR/VR, secure data flows) and assign roles and teams. Progress is tracked with dual assessment: academic standards and industrial acceptance. Finally, learning paths adapt based on evidence from live tasks, with digital dashboards and reviews supporting continuous improvement.</w:t>
      </w:r>
    </w:p>
    <w:p w:rsidR="00000000" w:rsidDel="00000000" w:rsidP="00000000" w:rsidRDefault="00000000" w:rsidRPr="00000000" w14:paraId="0000000D">
      <w:pPr>
        <w:jc w:val="both"/>
        <w:rPr>
          <w:b w:val="1"/>
          <w:sz w:val="26"/>
          <w:szCs w:val="26"/>
        </w:rPr>
      </w:pPr>
      <w:r w:rsidDel="00000000" w:rsidR="00000000" w:rsidRPr="00000000">
        <w:rPr>
          <w:b w:val="1"/>
          <w:sz w:val="26"/>
          <w:szCs w:val="26"/>
          <w:rtl w:val="0"/>
        </w:rPr>
        <w:t xml:space="preserve">5. A hybrid architecture for scale</w:t>
      </w:r>
    </w:p>
    <w:p w:rsidR="00000000" w:rsidDel="00000000" w:rsidP="00000000" w:rsidRDefault="00000000" w:rsidRPr="00000000" w14:paraId="0000000E">
      <w:pPr>
        <w:jc w:val="both"/>
        <w:rPr>
          <w:sz w:val="26"/>
          <w:szCs w:val="26"/>
        </w:rPr>
      </w:pPr>
      <w:r w:rsidDel="00000000" w:rsidR="00000000" w:rsidRPr="00000000">
        <w:rPr>
          <w:sz w:val="26"/>
          <w:szCs w:val="26"/>
          <w:rtl w:val="0"/>
        </w:rPr>
        <w:t xml:space="preserve">To make hybrid learning resilient, the curriculum redistributes contact time: theory online when it makes sense, virtual labs for repetition and access, and in-person factory practice for the tasks that must be physical. Communication shifts from only in-person meetings to webinars, digital stand-ups, and remote supervision, preserving cadence even across sites. The technology stack covers secure connectivity to assets, edge analytics, safe over-the-air updates, drift monitoring, and explainability. AR/VR supports procedures and training; digital twins and simulations widen access. Safety and cybersecurity are embedded from the outset, with clear permits-to-work, segmented networks, tested backups, and privacy safeguards for learner and operational data.</w:t>
      </w:r>
    </w:p>
    <w:p w:rsidR="00000000" w:rsidDel="00000000" w:rsidP="00000000" w:rsidRDefault="00000000" w:rsidRPr="00000000" w14:paraId="0000000F">
      <w:pPr>
        <w:jc w:val="both"/>
        <w:rPr>
          <w:b w:val="1"/>
          <w:sz w:val="26"/>
          <w:szCs w:val="26"/>
        </w:rPr>
      </w:pPr>
      <w:r w:rsidDel="00000000" w:rsidR="00000000" w:rsidRPr="00000000">
        <w:rPr>
          <w:b w:val="1"/>
          <w:sz w:val="26"/>
          <w:szCs w:val="26"/>
          <w:rtl w:val="0"/>
        </w:rPr>
        <w:t xml:space="preserve">6. Who does what</w:t>
      </w:r>
    </w:p>
    <w:p w:rsidR="00000000" w:rsidDel="00000000" w:rsidP="00000000" w:rsidRDefault="00000000" w:rsidRPr="00000000" w14:paraId="00000010">
      <w:pPr>
        <w:jc w:val="both"/>
        <w:rPr>
          <w:sz w:val="26"/>
          <w:szCs w:val="26"/>
        </w:rPr>
      </w:pPr>
      <w:r w:rsidDel="00000000" w:rsidR="00000000" w:rsidRPr="00000000">
        <w:rPr>
          <w:sz w:val="26"/>
          <w:szCs w:val="26"/>
          <w:rtl w:val="0"/>
        </w:rPr>
        <w:t xml:space="preserve">A successful WBLTF ecosystem works because every actor knows their part and how it connects to the rest. What follows is a cohesive picture of who does what, how they interact, and the service levels that keep the system predictable and safe.</w:t>
      </w:r>
    </w:p>
    <w:p w:rsidR="00000000" w:rsidDel="00000000" w:rsidP="00000000" w:rsidRDefault="00000000" w:rsidRPr="00000000" w14:paraId="00000011">
      <w:pPr>
        <w:jc w:val="both"/>
        <w:rPr>
          <w:sz w:val="26"/>
          <w:szCs w:val="26"/>
        </w:rPr>
      </w:pPr>
      <w:r w:rsidDel="00000000" w:rsidR="00000000" w:rsidRPr="00000000">
        <w:rPr>
          <w:b w:val="1"/>
          <w:i w:val="1"/>
          <w:sz w:val="26"/>
          <w:szCs w:val="26"/>
          <w:rtl w:val="0"/>
        </w:rPr>
        <w:t xml:space="preserve">VET providers and universities</w:t>
      </w:r>
      <w:r w:rsidDel="00000000" w:rsidR="00000000" w:rsidRPr="00000000">
        <w:rPr>
          <w:sz w:val="26"/>
          <w:szCs w:val="26"/>
          <w:rtl w:val="0"/>
        </w:rPr>
        <w:t xml:space="preserve"> translate real industrial problems into learnable journeys. They co-design micro-credentials mapped to EQF levels and ESCO roles, laying out clear pathways from foundation to advanced skills that travel well across sectors. They orchestrate hybrid delivery (balancing classroom theory, virtual labs and digital twins, and on-site rotations), while making safety, cybersecurity, and ethics non-negotiable prerequisites to any shop-floor exposure. Accessibility is built in: multilingual materials, bridge modules for maths, data literacy, and safety culture, and flexible schedules. Assessment blends academic mastery with workplace performance, using practical exams and moderated rubrics. Their labs run like mini factories, complete with risk assessments, patching routines, and tested backups. They steward data responsibly, role-based access, and clear retention policies, and they look after learners with tutoring, mentoring, and early interventions when engagement dips.</w:t>
      </w:r>
    </w:p>
    <w:p w:rsidR="00000000" w:rsidDel="00000000" w:rsidP="00000000" w:rsidRDefault="00000000" w:rsidRPr="00000000" w14:paraId="00000012">
      <w:pPr>
        <w:jc w:val="both"/>
        <w:rPr>
          <w:sz w:val="26"/>
          <w:szCs w:val="26"/>
        </w:rPr>
      </w:pPr>
      <w:r w:rsidDel="00000000" w:rsidR="00000000" w:rsidRPr="00000000">
        <w:rPr>
          <w:b w:val="1"/>
          <w:i w:val="1"/>
          <w:sz w:val="26"/>
          <w:szCs w:val="26"/>
          <w:rtl w:val="0"/>
        </w:rPr>
        <w:t xml:space="preserve">Industry partners</w:t>
      </w:r>
      <w:r w:rsidDel="00000000" w:rsidR="00000000" w:rsidRPr="00000000">
        <w:rPr>
          <w:sz w:val="26"/>
          <w:szCs w:val="26"/>
          <w:rtl w:val="0"/>
        </w:rPr>
        <w:t xml:space="preserve">, both SMEs and anchors, bring authenticity and pace. They surface challenges that matter, shaped with clear acceptance criteria, constraints, safety profiles, and data availability. Mentors with coaching and safety credentials meet learners regularly, reviewing code, data, and hazards, and granting access to digital twins or safe shop-floor zones as appropriate. Data sharing is purposeful and controlled: de-identified vibration, current, thermal, or acoustic streams, and metadata under structured agreements. They sit at the assessment table, weighing deliverables against industrial standards, and they open doors to paid placements and hiring pipelines for credential holders. Safety and cyber hygiene are daily practice: permits-to-work, segmented networks, and vendor risk checks for shared toolchains. IP is handled fairly: background IP is protected; foreground IP created together can be used for education under time-bound, non-exclusive terms.</w:t>
      </w:r>
    </w:p>
    <w:p w:rsidR="00000000" w:rsidDel="00000000" w:rsidP="00000000" w:rsidRDefault="00000000" w:rsidRPr="00000000" w14:paraId="00000013">
      <w:pPr>
        <w:jc w:val="both"/>
        <w:rPr>
          <w:sz w:val="26"/>
          <w:szCs w:val="26"/>
        </w:rPr>
      </w:pPr>
      <w:r w:rsidDel="00000000" w:rsidR="00000000" w:rsidRPr="00000000">
        <w:rPr>
          <w:b w:val="1"/>
          <w:i w:val="1"/>
          <w:sz w:val="26"/>
          <w:szCs w:val="26"/>
          <w:rtl w:val="0"/>
        </w:rPr>
        <w:t xml:space="preserve">Regional hubs</w:t>
      </w:r>
      <w:r w:rsidDel="00000000" w:rsidR="00000000" w:rsidRPr="00000000">
        <w:rPr>
          <w:sz w:val="26"/>
          <w:szCs w:val="26"/>
          <w:rtl w:val="0"/>
        </w:rPr>
        <w:t xml:space="preserve"> knit the network together. As neutral conveners, they coordinate calendars, shared facilities, and mentor registries, and they broker a portfolio of challenges across companies so supply and demand stay balanced. They operate hybrid labs and regional data spaces that SMEs can use without heavy IT lift, and they make onboarding easy with vouchers, starter kits, and hands-on help to install sensors, gateways and adapters. Legal friction is reduced through standard templates and apprenticeship contracts. Hubs also host communities of practice, publish anonymised casebooks and benchmarks, and aggregate KPIs to spot where support or course correction is needed.</w:t>
      </w:r>
    </w:p>
    <w:p w:rsidR="00000000" w:rsidDel="00000000" w:rsidP="00000000" w:rsidRDefault="00000000" w:rsidRPr="00000000" w14:paraId="00000014">
      <w:pPr>
        <w:jc w:val="both"/>
        <w:rPr>
          <w:sz w:val="26"/>
          <w:szCs w:val="26"/>
        </w:rPr>
      </w:pPr>
      <w:r w:rsidDel="00000000" w:rsidR="00000000" w:rsidRPr="00000000">
        <w:rPr>
          <w:b w:val="1"/>
          <w:i w:val="1"/>
          <w:sz w:val="26"/>
          <w:szCs w:val="26"/>
          <w:rtl w:val="0"/>
        </w:rPr>
        <w:t xml:space="preserve">Social partners</w:t>
      </w:r>
      <w:r w:rsidDel="00000000" w:rsidR="00000000" w:rsidRPr="00000000">
        <w:rPr>
          <w:sz w:val="26"/>
          <w:szCs w:val="26"/>
          <w:rtl w:val="0"/>
        </w:rPr>
        <w:t xml:space="preserve"> keep the system fair and future-proof. They co-develop occupational standards and competency frameworks, monitor access, pay, and conditions, and maintain safe channels for grievances and whistleblowing. Their involvement strengthens safety culture (ensuring learners have real stop-work authority), and they bring labour market signals and wage benchmarks that keep micro-credentials relevant and valuable.</w:t>
      </w:r>
    </w:p>
    <w:p w:rsidR="00000000" w:rsidDel="00000000" w:rsidP="00000000" w:rsidRDefault="00000000" w:rsidRPr="00000000" w14:paraId="00000015">
      <w:pPr>
        <w:jc w:val="both"/>
        <w:rPr>
          <w:sz w:val="26"/>
          <w:szCs w:val="26"/>
        </w:rPr>
      </w:pPr>
      <w:r w:rsidDel="00000000" w:rsidR="00000000" w:rsidRPr="00000000">
        <w:rPr>
          <w:b w:val="1"/>
          <w:i w:val="1"/>
          <w:sz w:val="26"/>
          <w:szCs w:val="26"/>
          <w:rtl w:val="0"/>
        </w:rPr>
        <w:t xml:space="preserve">Public authorities</w:t>
      </w:r>
      <w:r w:rsidDel="00000000" w:rsidR="00000000" w:rsidRPr="00000000">
        <w:rPr>
          <w:sz w:val="26"/>
          <w:szCs w:val="26"/>
          <w:rtl w:val="0"/>
        </w:rPr>
        <w:t xml:space="preserve"> set the guardrails and fuel the engine. They recognise micro-credentials within national frameworks, simplify contracts and insurance for dual education, and provide the capital and operating funding that make hybrid labs and mentorship sustainable. Incentives are tied to what matters (employment, time-to-productivity, and safety gains), while procurement favours interoperability, cybersecurity maturity, accessibility, and usability over price-only decisions. Through accreditation and audits, they uphold quality and publish transparent dashboards. Inclusion is not optional: targets for underrepresented groups are matched with practical supports like childcare, transport, and assistive technologies.</w:t>
      </w:r>
    </w:p>
    <w:p w:rsidR="00000000" w:rsidDel="00000000" w:rsidP="00000000" w:rsidRDefault="00000000" w:rsidRPr="00000000" w14:paraId="00000016">
      <w:pPr>
        <w:jc w:val="both"/>
        <w:rPr>
          <w:sz w:val="26"/>
          <w:szCs w:val="26"/>
        </w:rPr>
      </w:pPr>
      <w:r w:rsidDel="00000000" w:rsidR="00000000" w:rsidRPr="00000000">
        <w:rPr>
          <w:b w:val="1"/>
          <w:i w:val="1"/>
          <w:sz w:val="26"/>
          <w:szCs w:val="26"/>
          <w:rtl w:val="0"/>
        </w:rPr>
        <w:t xml:space="preserve">An independent quality and ethics board</w:t>
      </w:r>
      <w:r w:rsidDel="00000000" w:rsidR="00000000" w:rsidRPr="00000000">
        <w:rPr>
          <w:sz w:val="26"/>
          <w:szCs w:val="26"/>
          <w:rtl w:val="0"/>
        </w:rPr>
        <w:t xml:space="preserve"> watches the horizon and the details. It approves pedagogical standards, reviews safety incidents and privacy breaches, and conducts ethical assessments for new modules. Where lines must be drawn (say, on invasive monitoring), it errs on the side of learner rights. Its annual public reports keep the system honest and prompt timely updates to policy and practice.</w:t>
      </w:r>
    </w:p>
    <w:p w:rsidR="00000000" w:rsidDel="00000000" w:rsidP="00000000" w:rsidRDefault="00000000" w:rsidRPr="00000000" w14:paraId="00000017">
      <w:pPr>
        <w:jc w:val="both"/>
        <w:rPr>
          <w:sz w:val="26"/>
          <w:szCs w:val="26"/>
        </w:rPr>
      </w:pPr>
      <w:r w:rsidDel="00000000" w:rsidR="00000000" w:rsidRPr="00000000">
        <w:rPr>
          <w:b w:val="1"/>
          <w:i w:val="1"/>
          <w:sz w:val="26"/>
          <w:szCs w:val="26"/>
          <w:rtl w:val="0"/>
        </w:rPr>
        <w:t xml:space="preserve">A WBLTF operations office</w:t>
      </w:r>
      <w:r w:rsidDel="00000000" w:rsidR="00000000" w:rsidRPr="00000000">
        <w:rPr>
          <w:sz w:val="26"/>
          <w:szCs w:val="26"/>
          <w:rtl w:val="0"/>
        </w:rPr>
        <w:t xml:space="preserve"> keeps everything moving. It handles the intake of challenges, maps them to cohorts, schedules resources, and manages SLAs for labs and platforms. Technically, it maintains edge and cloud environments, remote lab uptime, identity and access control, telemetry integrity, and incident response. It runs the measurement and verification pipeline (baselines, normalization, dashboards, and tamper-evident logs), and drives continuous improvement by capturing feedback, versioning curricula, and piloting new tools or methods.</w:t>
      </w:r>
    </w:p>
    <w:p w:rsidR="00000000" w:rsidDel="00000000" w:rsidP="00000000" w:rsidRDefault="00000000" w:rsidRPr="00000000" w14:paraId="00000018">
      <w:pPr>
        <w:jc w:val="both"/>
        <w:rPr>
          <w:sz w:val="26"/>
          <w:szCs w:val="26"/>
        </w:rPr>
      </w:pPr>
      <w:r w:rsidDel="00000000" w:rsidR="00000000" w:rsidRPr="00000000">
        <w:rPr>
          <w:b w:val="1"/>
          <w:i w:val="1"/>
          <w:sz w:val="26"/>
          <w:szCs w:val="26"/>
          <w:rtl w:val="0"/>
        </w:rPr>
        <w:t xml:space="preserve">Learners</w:t>
      </w:r>
      <w:r w:rsidDel="00000000" w:rsidR="00000000" w:rsidRPr="00000000">
        <w:rPr>
          <w:sz w:val="26"/>
          <w:szCs w:val="26"/>
          <w:rtl w:val="0"/>
        </w:rPr>
        <w:t xml:space="preserve"> are treated as emerging professionals. They follow safety and data ethics rigorously, keep accurate logs, and participate in stand-ups and retrospectives. They build shared assets (code, models, and datasets), with documentation and reproducibility in mind, and they reflect through journals and peer feedback. As they progress, they assemble a verifiable skills wallet of micro-credentials and engage with employers for placements and hiring, contributing back as peer mentors to those who follow.</w:t>
      </w:r>
    </w:p>
    <w:p w:rsidR="00000000" w:rsidDel="00000000" w:rsidP="00000000" w:rsidRDefault="00000000" w:rsidRPr="00000000" w14:paraId="00000019">
      <w:pPr>
        <w:jc w:val="both"/>
        <w:rPr>
          <w:sz w:val="26"/>
          <w:szCs w:val="26"/>
        </w:rPr>
      </w:pPr>
      <w:r w:rsidDel="00000000" w:rsidR="00000000" w:rsidRPr="00000000">
        <w:rPr>
          <w:sz w:val="26"/>
          <w:szCs w:val="26"/>
          <w:rtl w:val="0"/>
        </w:rPr>
        <w:t xml:space="preserve">To make these relationships crisp, a few standards “handshakes” anchor collaboration. A challenge charter, co-signed by the industry partner, provider, and hub, sets the scope, KPIs, safety profile, data sharing, IP, timeline, and assessment criteria. A data processing agreement lays out lawful basis, purpose limitation, retention, access, and breach notifications for both learner and operational data. A safety plan details site-specific risks, training records, and stop-work authority. A shared assessment rubric combines academic and industrial acceptance criteria (reproducibility, safety compliance, impact and operator usability) and, at handover, a complete package includes repositories, model lineage, datasets with metadata, test results, user guides and summary.</w:t>
      </w:r>
    </w:p>
    <w:p w:rsidR="00000000" w:rsidDel="00000000" w:rsidP="00000000" w:rsidRDefault="00000000" w:rsidRPr="00000000" w14:paraId="0000001A">
      <w:pPr>
        <w:jc w:val="both"/>
        <w:rPr>
          <w:sz w:val="26"/>
          <w:szCs w:val="26"/>
        </w:rPr>
      </w:pPr>
      <w:r w:rsidDel="00000000" w:rsidR="00000000" w:rsidRPr="00000000">
        <w:rPr>
          <w:sz w:val="26"/>
          <w:szCs w:val="26"/>
          <w:rtl w:val="0"/>
        </w:rPr>
        <w:t xml:space="preserve">Capacity grows with people. Mentor academies equip industry and educators with coaching skills, inclusive practices, safety leadership, and cyber hygiene. Assessor calibration keeps grading consistent across sites through exemplars and moderation. Hub playbooks provide step-by-step guides to set up hybrid labs, federated learning sandboxes, AR/VR deployments, and cyber baselines. Learners get ready through short bootcamps covering data literacy, Python/SQL, job safety analysis and permits, and human–robot collaboration.</w:t>
      </w:r>
    </w:p>
    <w:p w:rsidR="00000000" w:rsidDel="00000000" w:rsidP="00000000" w:rsidRDefault="00000000" w:rsidRPr="00000000" w14:paraId="0000001B">
      <w:pPr>
        <w:jc w:val="both"/>
        <w:rPr>
          <w:sz w:val="26"/>
          <w:szCs w:val="26"/>
        </w:rPr>
      </w:pPr>
      <w:r w:rsidDel="00000000" w:rsidR="00000000" w:rsidRPr="00000000">
        <w:rPr>
          <w:sz w:val="26"/>
          <w:szCs w:val="26"/>
          <w:rtl w:val="0"/>
        </w:rPr>
        <w:t xml:space="preserve">Finally, service levels keep expectations aligned. From proposal to signed challenge charter should take two to four weeks. New SMEs should reach their first live challenge within eight weeks. Mentors meet weekly and return feedback within 24 to 48 hours. Remote labs hit 99% uptime during teaching windows, with critical incidents resolved inside a day. Credentials are issued within ten business days of verified assessment. When everyone delivers to these rhythms, WBLTF feels seamless: learners focus on solving real problems, employers trust the outcomes, and regions build resilient skills ecosystems that adapt and improve over time.</w:t>
      </w:r>
    </w:p>
    <w:p w:rsidR="00000000" w:rsidDel="00000000" w:rsidP="00000000" w:rsidRDefault="00000000" w:rsidRPr="00000000" w14:paraId="0000001C">
      <w:pPr>
        <w:jc w:val="both"/>
        <w:rPr>
          <w:b w:val="1"/>
          <w:sz w:val="26"/>
          <w:szCs w:val="26"/>
        </w:rPr>
      </w:pPr>
      <w:r w:rsidDel="00000000" w:rsidR="00000000" w:rsidRPr="00000000">
        <w:rPr>
          <w:b w:val="1"/>
          <w:sz w:val="26"/>
          <w:szCs w:val="26"/>
          <w:rtl w:val="0"/>
        </w:rPr>
        <w:t xml:space="preserve">7. Quality, safety, and trust</w:t>
      </w:r>
    </w:p>
    <w:p w:rsidR="00000000" w:rsidDel="00000000" w:rsidP="00000000" w:rsidRDefault="00000000" w:rsidRPr="00000000" w14:paraId="0000001D">
      <w:pPr>
        <w:jc w:val="both"/>
        <w:rPr>
          <w:sz w:val="26"/>
          <w:szCs w:val="26"/>
        </w:rPr>
      </w:pPr>
      <w:r w:rsidDel="00000000" w:rsidR="00000000" w:rsidRPr="00000000">
        <w:rPr>
          <w:sz w:val="26"/>
          <w:szCs w:val="26"/>
          <w:rtl w:val="0"/>
        </w:rPr>
        <w:t xml:space="preserve">Standards provide the common language. Asset and data models align with established norms (for example, Asset Administration Shell, ISO and EN standards for condition monitoring and maintenance). Credentials map to EQF levels and ESCO roles. Ethics and privacy are respected through purpose-limited data, anonymization where needed, and accessible, multilingual materials. Safety improves by defaulting to remote or robotic inspections where possible and by guiding in-person tasks with AR and robust permits. Cybersecurity follows a zero-trust mindset with segmented networks, tested restores, and supply chain transparency. Evidence is auditable with tamper-evident logs and model lineage so claims can be trusted.</w:t>
      </w:r>
    </w:p>
    <w:p w:rsidR="00000000" w:rsidDel="00000000" w:rsidP="00000000" w:rsidRDefault="00000000" w:rsidRPr="00000000" w14:paraId="0000001E">
      <w:pPr>
        <w:jc w:val="both"/>
        <w:rPr>
          <w:b w:val="1"/>
          <w:sz w:val="26"/>
          <w:szCs w:val="26"/>
        </w:rPr>
      </w:pPr>
      <w:r w:rsidDel="00000000" w:rsidR="00000000" w:rsidRPr="00000000">
        <w:rPr>
          <w:b w:val="1"/>
          <w:sz w:val="26"/>
          <w:szCs w:val="26"/>
          <w:rtl w:val="0"/>
        </w:rPr>
        <w:t xml:space="preserve">8. Funding and incentives that reward outcomes</w:t>
      </w:r>
    </w:p>
    <w:p w:rsidR="00000000" w:rsidDel="00000000" w:rsidP="00000000" w:rsidRDefault="00000000" w:rsidRPr="00000000" w14:paraId="0000001F">
      <w:pPr>
        <w:jc w:val="both"/>
        <w:rPr>
          <w:sz w:val="26"/>
          <w:szCs w:val="26"/>
        </w:rPr>
      </w:pPr>
      <w:r w:rsidDel="00000000" w:rsidR="00000000" w:rsidRPr="00000000">
        <w:rPr>
          <w:sz w:val="26"/>
          <w:szCs w:val="26"/>
          <w:rtl w:val="0"/>
        </w:rPr>
        <w:t xml:space="preserve">Public support should cover both capital and operations: secure gateways and sensors, AR/VR kits, remote access, and the mentors and coordinators who make WBLTF work. Vouchers can bring SMEs on board quickly, offsetting equipment and backfill costs. Learners benefit from stipends, travel support, and paid apprenticeships. Outcome-based funding is key: tie disbursements to verified improvements in employability, time-to-productivity, and environmental and safety metrics. Procurement should reward interoperability, cybersecurity, usability, and robust measurement, not just the lowest price.</w:t>
      </w:r>
    </w:p>
    <w:p w:rsidR="00000000" w:rsidDel="00000000" w:rsidP="00000000" w:rsidRDefault="00000000" w:rsidRPr="00000000" w14:paraId="00000020">
      <w:pPr>
        <w:jc w:val="both"/>
        <w:rPr>
          <w:b w:val="1"/>
          <w:sz w:val="26"/>
          <w:szCs w:val="26"/>
        </w:rPr>
      </w:pPr>
      <w:r w:rsidDel="00000000" w:rsidR="00000000" w:rsidRPr="00000000">
        <w:rPr>
          <w:b w:val="1"/>
          <w:sz w:val="26"/>
          <w:szCs w:val="26"/>
          <w:rtl w:val="0"/>
        </w:rPr>
        <w:t xml:space="preserve">9. Measuring what matters</w:t>
      </w:r>
    </w:p>
    <w:p w:rsidR="00000000" w:rsidDel="00000000" w:rsidP="00000000" w:rsidRDefault="00000000" w:rsidRPr="00000000" w14:paraId="00000021">
      <w:pPr>
        <w:jc w:val="both"/>
        <w:rPr>
          <w:sz w:val="26"/>
          <w:szCs w:val="26"/>
        </w:rPr>
      </w:pPr>
      <w:r w:rsidDel="00000000" w:rsidR="00000000" w:rsidRPr="00000000">
        <w:rPr>
          <w:sz w:val="26"/>
          <w:szCs w:val="26"/>
          <w:rtl w:val="0"/>
        </w:rPr>
        <w:t xml:space="preserve">Outcomes should be visible and comparable. On the environmental side, track reductions in energy intensity, water and chemicals used during cleaning, environmental incidents, and noise and air exceedances. Socially, measure hazardous exposure hours avoided, improvements in safety outcomes, and inclusive participation with real wage progression. Operationally, monitor unplanned downtime, first-time fix rates, and onboarding speed. From a learning perspective, follow credential completion, challenge closure rates, and cross-recognition of credentials. Use solid baselines, normalize for context, verify material claims independently, and keep critical telemetry tamper-evident.</w:t>
      </w:r>
    </w:p>
    <w:p w:rsidR="00000000" w:rsidDel="00000000" w:rsidP="00000000" w:rsidRDefault="00000000" w:rsidRPr="00000000" w14:paraId="00000022">
      <w:pPr>
        <w:jc w:val="both"/>
        <w:rPr>
          <w:b w:val="1"/>
          <w:sz w:val="26"/>
          <w:szCs w:val="26"/>
        </w:rPr>
      </w:pPr>
      <w:r w:rsidDel="00000000" w:rsidR="00000000" w:rsidRPr="00000000">
        <w:rPr>
          <w:b w:val="1"/>
          <w:sz w:val="26"/>
          <w:szCs w:val="26"/>
          <w:rtl w:val="0"/>
        </w:rPr>
        <w:t xml:space="preserve">10. Inclusion by design</w:t>
      </w:r>
    </w:p>
    <w:p w:rsidR="00000000" w:rsidDel="00000000" w:rsidP="00000000" w:rsidRDefault="00000000" w:rsidRPr="00000000" w14:paraId="00000023">
      <w:pPr>
        <w:jc w:val="both"/>
        <w:rPr>
          <w:sz w:val="26"/>
          <w:szCs w:val="26"/>
        </w:rPr>
      </w:pPr>
      <w:r w:rsidDel="00000000" w:rsidR="00000000" w:rsidRPr="00000000">
        <w:rPr>
          <w:sz w:val="26"/>
          <w:szCs w:val="26"/>
          <w:rtl w:val="0"/>
        </w:rPr>
        <w:t xml:space="preserve">Access improves when delivery is flexible and humane. Materials should be multilingual and accessible, with evening and weekend options where needed. Bridge modules in math, data, and safety help more learners succeed. Outreach through community partners and mentorship networks widens participation. Support services (from childcare stipends to device lending), keep doors open. Selection and assessment should be monitored and adjusted to minimize bias.</w:t>
      </w:r>
    </w:p>
    <w:p w:rsidR="00000000" w:rsidDel="00000000" w:rsidP="00000000" w:rsidRDefault="00000000" w:rsidRPr="00000000" w14:paraId="00000024">
      <w:pPr>
        <w:jc w:val="both"/>
        <w:rPr>
          <w:i w:val="1"/>
          <w:sz w:val="26"/>
          <w:szCs w:val="26"/>
        </w:rPr>
      </w:pPr>
      <w:r w:rsidDel="00000000" w:rsidR="00000000" w:rsidRPr="00000000">
        <w:rPr>
          <w:i w:val="1"/>
          <w:sz w:val="26"/>
          <w:szCs w:val="26"/>
          <w:rtl w:val="0"/>
        </w:rPr>
        <w:t xml:space="preserve">Environmental</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Energy intensity reduction for WBLTF</w:t>
      </w:r>
      <w:r w:rsidDel="00000000" w:rsidR="00000000" w:rsidRPr="00000000">
        <w:rPr>
          <w:rFonts w:ascii="Cambria Math" w:cs="Cambria Math" w:eastAsia="Cambria Math" w:hAnsi="Cambria Math"/>
          <w:b w:val="0"/>
          <w:i w:val="0"/>
          <w:smallCaps w:val="0"/>
          <w:strike w:val="0"/>
          <w:color w:val="000000"/>
          <w:sz w:val="26"/>
          <w:szCs w:val="26"/>
          <w:u w:val="none"/>
          <w:shd w:fill="auto" w:val="clear"/>
          <w:vertAlign w:val="baseline"/>
          <w:rtl w:val="0"/>
        </w:rPr>
        <w:t xml:space="preserve">‑</w:t>
      </w: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addressed assets: 10–20% within 24–36 months.</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Water/chemical use reduction via predictive cleaning: 25–30%.</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Environmental incident reduction (leaks/spills/fugitive emissions): </w:t>
        <w:br w:type="textWrapping"/>
        <w:t xml:space="preserve">10–20%.</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Noise/air exceedance reduction at fence</w:t>
      </w:r>
      <w:r w:rsidDel="00000000" w:rsidR="00000000" w:rsidRPr="00000000">
        <w:rPr>
          <w:rFonts w:ascii="Cambria Math" w:cs="Cambria Math" w:eastAsia="Cambria Math" w:hAnsi="Cambria Math"/>
          <w:b w:val="0"/>
          <w:i w:val="0"/>
          <w:smallCaps w:val="0"/>
          <w:strike w:val="0"/>
          <w:color w:val="000000"/>
          <w:sz w:val="26"/>
          <w:szCs w:val="26"/>
          <w:u w:val="none"/>
          <w:shd w:fill="auto" w:val="clear"/>
          <w:vertAlign w:val="baseline"/>
          <w:rtl w:val="0"/>
        </w:rPr>
        <w:t xml:space="preserve">‑</w:t>
      </w: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line: ≥20%.</w:t>
      </w:r>
    </w:p>
    <w:p w:rsidR="00000000" w:rsidDel="00000000" w:rsidP="00000000" w:rsidRDefault="00000000" w:rsidRPr="00000000" w14:paraId="00000029">
      <w:pPr>
        <w:jc w:val="both"/>
        <w:rPr>
          <w:i w:val="1"/>
          <w:sz w:val="26"/>
          <w:szCs w:val="26"/>
        </w:rPr>
      </w:pPr>
      <w:r w:rsidDel="00000000" w:rsidR="00000000" w:rsidRPr="00000000">
        <w:rPr>
          <w:i w:val="1"/>
          <w:sz w:val="26"/>
          <w:szCs w:val="26"/>
          <w:rtl w:val="0"/>
        </w:rPr>
        <w:t xml:space="preserve">Social</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Hazardous exposure hours avoided through remote/AR/robotic workflows: 30–50%.</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Safety outcomes: 25–30% fewer near misses/recordables during maintenance tasks.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Inclusion: ≥25–30% participation from underrepresented groups; measurable wage progression 12–24 months post</w:t>
      </w:r>
      <w:r w:rsidDel="00000000" w:rsidR="00000000" w:rsidRPr="00000000">
        <w:rPr>
          <w:rFonts w:ascii="Cambria Math" w:cs="Cambria Math" w:eastAsia="Cambria Math" w:hAnsi="Cambria Math"/>
          <w:b w:val="0"/>
          <w:i w:val="0"/>
          <w:smallCaps w:val="0"/>
          <w:strike w:val="0"/>
          <w:color w:val="000000"/>
          <w:sz w:val="26"/>
          <w:szCs w:val="26"/>
          <w:u w:val="none"/>
          <w:shd w:fill="auto" w:val="clear"/>
          <w:vertAlign w:val="baseline"/>
          <w:rtl w:val="0"/>
        </w:rPr>
        <w:t xml:space="preserve">‑</w:t>
      </w: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credential.</w:t>
      </w:r>
    </w:p>
    <w:p w:rsidR="00000000" w:rsidDel="00000000" w:rsidP="00000000" w:rsidRDefault="00000000" w:rsidRPr="00000000" w14:paraId="0000002D">
      <w:pPr>
        <w:jc w:val="both"/>
        <w:rPr>
          <w:i w:val="1"/>
          <w:sz w:val="26"/>
          <w:szCs w:val="26"/>
        </w:rPr>
      </w:pPr>
      <w:r w:rsidDel="00000000" w:rsidR="00000000" w:rsidRPr="00000000">
        <w:rPr>
          <w:i w:val="1"/>
          <w:sz w:val="26"/>
          <w:szCs w:val="26"/>
          <w:rtl w:val="0"/>
        </w:rPr>
        <w:t xml:space="preserve">Economic/operational</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Unplanned downtime reduction: 10–20%.</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Time to productivity for new hires/apprentices: 25–30% faster.</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First</w:t>
      </w:r>
      <w:r w:rsidDel="00000000" w:rsidR="00000000" w:rsidRPr="00000000">
        <w:rPr>
          <w:rFonts w:ascii="Cambria Math" w:cs="Cambria Math" w:eastAsia="Cambria Math" w:hAnsi="Cambria Math"/>
          <w:b w:val="0"/>
          <w:i w:val="0"/>
          <w:smallCaps w:val="0"/>
          <w:strike w:val="0"/>
          <w:color w:val="000000"/>
          <w:sz w:val="26"/>
          <w:szCs w:val="26"/>
          <w:u w:val="none"/>
          <w:shd w:fill="auto" w:val="clear"/>
          <w:vertAlign w:val="baseline"/>
          <w:rtl w:val="0"/>
        </w:rPr>
        <w:t xml:space="preserve">‑</w:t>
      </w: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time fix rate: +10–20 pp.</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SME participation: share of SMEs engaged per hub; time</w:t>
      </w:r>
      <w:r w:rsidDel="00000000" w:rsidR="00000000" w:rsidRPr="00000000">
        <w:rPr>
          <w:rFonts w:ascii="Cambria Math" w:cs="Cambria Math" w:eastAsia="Cambria Math" w:hAnsi="Cambria Math"/>
          <w:b w:val="0"/>
          <w:i w:val="0"/>
          <w:smallCaps w:val="0"/>
          <w:strike w:val="0"/>
          <w:color w:val="000000"/>
          <w:sz w:val="26"/>
          <w:szCs w:val="26"/>
          <w:u w:val="none"/>
          <w:shd w:fill="auto" w:val="clear"/>
          <w:vertAlign w:val="baseline"/>
          <w:rtl w:val="0"/>
        </w:rPr>
        <w:t xml:space="preserve">‑</w:t>
      </w: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to</w:t>
      </w:r>
      <w:r w:rsidDel="00000000" w:rsidR="00000000" w:rsidRPr="00000000">
        <w:rPr>
          <w:rFonts w:ascii="Cambria Math" w:cs="Cambria Math" w:eastAsia="Cambria Math" w:hAnsi="Cambria Math"/>
          <w:b w:val="0"/>
          <w:i w:val="0"/>
          <w:smallCaps w:val="0"/>
          <w:strike w:val="0"/>
          <w:color w:val="000000"/>
          <w:sz w:val="26"/>
          <w:szCs w:val="26"/>
          <w:u w:val="none"/>
          <w:shd w:fill="auto" w:val="clear"/>
          <w:vertAlign w:val="baseline"/>
          <w:rtl w:val="0"/>
        </w:rPr>
        <w:t xml:space="preserve">‑</w:t>
      </w: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onboard &lt;8 weeks.</w:t>
      </w:r>
    </w:p>
    <w:p w:rsidR="00000000" w:rsidDel="00000000" w:rsidP="00000000" w:rsidRDefault="00000000" w:rsidRPr="00000000" w14:paraId="00000032">
      <w:pPr>
        <w:jc w:val="both"/>
        <w:rPr>
          <w:sz w:val="26"/>
          <w:szCs w:val="26"/>
        </w:rPr>
      </w:pPr>
      <w:r w:rsidDel="00000000" w:rsidR="00000000" w:rsidRPr="00000000">
        <w:rPr>
          <w:rtl w:val="0"/>
        </w:rPr>
      </w:r>
    </w:p>
    <w:p w:rsidR="00000000" w:rsidDel="00000000" w:rsidP="00000000" w:rsidRDefault="00000000" w:rsidRPr="00000000" w14:paraId="00000033">
      <w:pPr>
        <w:jc w:val="both"/>
        <w:rPr>
          <w:sz w:val="26"/>
          <w:szCs w:val="26"/>
        </w:rPr>
      </w:pPr>
      <w:r w:rsidDel="00000000" w:rsidR="00000000" w:rsidRPr="00000000">
        <w:rPr>
          <w:rtl w:val="0"/>
        </w:rPr>
      </w:r>
    </w:p>
    <w:p w:rsidR="00000000" w:rsidDel="00000000" w:rsidP="00000000" w:rsidRDefault="00000000" w:rsidRPr="00000000" w14:paraId="00000034">
      <w:pPr>
        <w:jc w:val="both"/>
        <w:rPr>
          <w:i w:val="1"/>
          <w:sz w:val="26"/>
          <w:szCs w:val="26"/>
        </w:rPr>
      </w:pPr>
      <w:r w:rsidDel="00000000" w:rsidR="00000000" w:rsidRPr="00000000">
        <w:rPr>
          <w:i w:val="1"/>
          <w:sz w:val="26"/>
          <w:szCs w:val="26"/>
          <w:rtl w:val="0"/>
        </w:rPr>
        <w:t xml:space="preserve">Learning outcomes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Credential attainment rate: ≥50% within planned duration.</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Challenge closure rate: ≥75% industrial challenges meeting acceptance criteria.</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Transferability: % of credentials recognised across regions/sectors.</w:t>
      </w:r>
    </w:p>
    <w:p w:rsidR="00000000" w:rsidDel="00000000" w:rsidP="00000000" w:rsidRDefault="00000000" w:rsidRPr="00000000" w14:paraId="00000038">
      <w:pPr>
        <w:jc w:val="both"/>
        <w:rPr>
          <w:i w:val="1"/>
          <w:sz w:val="26"/>
          <w:szCs w:val="26"/>
        </w:rPr>
      </w:pPr>
      <w:r w:rsidDel="00000000" w:rsidR="00000000" w:rsidRPr="00000000">
        <w:rPr>
          <w:i w:val="1"/>
          <w:sz w:val="26"/>
          <w:szCs w:val="26"/>
          <w:rtl w:val="0"/>
        </w:rPr>
        <w:t xml:space="preserve">Verification principles</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Baselines: 6–12 months pre</w:t>
      </w:r>
      <w:r w:rsidDel="00000000" w:rsidR="00000000" w:rsidRPr="00000000">
        <w:rPr>
          <w:rFonts w:ascii="Cambria Math" w:cs="Cambria Math" w:eastAsia="Cambria Math" w:hAnsi="Cambria Math"/>
          <w:b w:val="0"/>
          <w:i w:val="0"/>
          <w:smallCaps w:val="0"/>
          <w:strike w:val="0"/>
          <w:color w:val="000000"/>
          <w:sz w:val="26"/>
          <w:szCs w:val="26"/>
          <w:u w:val="none"/>
          <w:shd w:fill="auto" w:val="clear"/>
          <w:vertAlign w:val="baseline"/>
          <w:rtl w:val="0"/>
        </w:rPr>
        <w:t xml:space="preserve">‑</w:t>
      </w: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implementation or engineered baselines for greenfield.</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Normalisation: throughput, product mix, ambient conditions, grid CO2e.</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Independent M&amp;V for material claims; publish methods and uncertainty; tamper</w:t>
      </w:r>
      <w:r w:rsidDel="00000000" w:rsidR="00000000" w:rsidRPr="00000000">
        <w:rPr>
          <w:rFonts w:ascii="Cambria Math" w:cs="Cambria Math" w:eastAsia="Cambria Math" w:hAnsi="Cambria Math"/>
          <w:b w:val="0"/>
          <w:i w:val="0"/>
          <w:smallCaps w:val="0"/>
          <w:strike w:val="0"/>
          <w:color w:val="000000"/>
          <w:sz w:val="26"/>
          <w:szCs w:val="26"/>
          <w:u w:val="none"/>
          <w:shd w:fill="auto" w:val="clear"/>
          <w:vertAlign w:val="baseline"/>
          <w:rtl w:val="0"/>
        </w:rPr>
        <w:t xml:space="preserve">‑</w:t>
      </w: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evident logs for critical KPIs.</w:t>
      </w:r>
    </w:p>
    <w:p w:rsidR="00000000" w:rsidDel="00000000" w:rsidP="00000000" w:rsidRDefault="00000000" w:rsidRPr="00000000" w14:paraId="0000003C">
      <w:pPr>
        <w:jc w:val="both"/>
        <w:rPr>
          <w:b w:val="1"/>
          <w:sz w:val="26"/>
          <w:szCs w:val="26"/>
        </w:rPr>
      </w:pPr>
      <w:r w:rsidDel="00000000" w:rsidR="00000000" w:rsidRPr="00000000">
        <w:rPr>
          <w:b w:val="1"/>
          <w:sz w:val="26"/>
          <w:szCs w:val="26"/>
          <w:rtl w:val="0"/>
        </w:rPr>
        <w:t xml:space="preserve">11. Interoperability and open assets</w:t>
      </w:r>
    </w:p>
    <w:p w:rsidR="00000000" w:rsidDel="00000000" w:rsidP="00000000" w:rsidRDefault="00000000" w:rsidRPr="00000000" w14:paraId="0000003D">
      <w:pPr>
        <w:jc w:val="both"/>
        <w:rPr>
          <w:sz w:val="26"/>
          <w:szCs w:val="26"/>
        </w:rPr>
      </w:pPr>
      <w:r w:rsidDel="00000000" w:rsidR="00000000" w:rsidRPr="00000000">
        <w:rPr>
          <w:sz w:val="26"/>
          <w:szCs w:val="26"/>
          <w:rtl w:val="0"/>
        </w:rPr>
        <w:t xml:space="preserve">Scaling depends on common building blocks. Share reference curricula and open educational resources for deep-tech predictive maintenance. Publish curated datasets with clear taxonomies so teams can practice on realistic, rare-fault and regime-shift problems. Keep models, features, and schemas exportable with vendor-neutral interfaces, and use escrow for critical artifacts to avoid lock-in.</w:t>
      </w:r>
    </w:p>
    <w:p w:rsidR="00000000" w:rsidDel="00000000" w:rsidP="00000000" w:rsidRDefault="00000000" w:rsidRPr="00000000" w14:paraId="0000003E">
      <w:pPr>
        <w:jc w:val="both"/>
        <w:rPr>
          <w:b w:val="1"/>
          <w:sz w:val="26"/>
          <w:szCs w:val="26"/>
        </w:rPr>
      </w:pPr>
      <w:r w:rsidDel="00000000" w:rsidR="00000000" w:rsidRPr="00000000">
        <w:rPr>
          <w:b w:val="1"/>
          <w:sz w:val="26"/>
          <w:szCs w:val="26"/>
          <w:rtl w:val="0"/>
        </w:rPr>
        <w:t xml:space="preserve">12. A realistic roadmap</w:t>
      </w:r>
    </w:p>
    <w:p w:rsidR="00000000" w:rsidDel="00000000" w:rsidP="00000000" w:rsidRDefault="00000000" w:rsidRPr="00000000" w14:paraId="0000003F">
      <w:pPr>
        <w:jc w:val="both"/>
        <w:rPr>
          <w:sz w:val="26"/>
          <w:szCs w:val="26"/>
        </w:rPr>
      </w:pPr>
      <w:r w:rsidDel="00000000" w:rsidR="00000000" w:rsidRPr="00000000">
        <w:rPr>
          <w:sz w:val="26"/>
          <w:szCs w:val="26"/>
          <w:rtl w:val="0"/>
        </w:rPr>
        <w:t xml:space="preserve">Start by laying the foundations in year one: publish a WBLTF standard, align micro-credentials to EQF and ESCO, fund a first wave of regional hubs, equip hybrid labs, and launch an industry challenge registry. Run pilot cohorts in priority sectors and put measurement in place from day one. In years two and three, expand the hub network, bring SMEs in at scale with vouchers, certify interoperable toolkits, formalize paid apprenticeships, and link reporting pilots to corporate sustainability needs. Beyond year three, mainstream WBLTF: recognize micro-credentials nationally, embed them in public procurement, scale cohorts significantly, and keep standards and playbooks alive as technology and regulation evolve.</w:t>
      </w:r>
    </w:p>
    <w:p w:rsidR="00000000" w:rsidDel="00000000" w:rsidP="00000000" w:rsidRDefault="00000000" w:rsidRPr="00000000" w14:paraId="00000040">
      <w:pPr>
        <w:jc w:val="both"/>
        <w:rPr>
          <w:i w:val="1"/>
          <w:sz w:val="26"/>
          <w:szCs w:val="26"/>
        </w:rPr>
      </w:pPr>
      <w:r w:rsidDel="00000000" w:rsidR="00000000" w:rsidRPr="00000000">
        <w:rPr>
          <w:i w:val="1"/>
          <w:sz w:val="26"/>
          <w:szCs w:val="26"/>
          <w:rtl w:val="0"/>
        </w:rPr>
        <w:t xml:space="preserve">Year 1: Foundation</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Publish the WBLTF Pedagogical and Quality Standard; align micro</w:t>
      </w:r>
      <w:r w:rsidDel="00000000" w:rsidR="00000000" w:rsidRPr="00000000">
        <w:rPr>
          <w:rFonts w:ascii="Cambria Math" w:cs="Cambria Math" w:eastAsia="Cambria Math" w:hAnsi="Cambria Math"/>
          <w:b w:val="0"/>
          <w:i w:val="0"/>
          <w:smallCaps w:val="0"/>
          <w:strike w:val="0"/>
          <w:color w:val="000000"/>
          <w:sz w:val="26"/>
          <w:szCs w:val="26"/>
          <w:u w:val="none"/>
          <w:shd w:fill="auto" w:val="clear"/>
          <w:vertAlign w:val="baseline"/>
          <w:rtl w:val="0"/>
        </w:rPr>
        <w:t xml:space="preserve">‑</w:t>
      </w: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credentials to EQF levels and ESCO roles.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Fund 5–10 regional hubs; equip hybrid labs with secure edge stacks, AR/VR, and remote access.</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Launch industry challenge registry; seed datasets; establish outcome and M&amp;V guidance.</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Pilot dual cohorts in priority sectors (mechanical/CNC, packaging, water, rail) with 200–500 learners.</w:t>
      </w:r>
    </w:p>
    <w:p w:rsidR="00000000" w:rsidDel="00000000" w:rsidP="00000000" w:rsidRDefault="00000000" w:rsidRPr="00000000" w14:paraId="00000045">
      <w:pPr>
        <w:jc w:val="both"/>
        <w:rPr>
          <w:i w:val="1"/>
          <w:sz w:val="26"/>
          <w:szCs w:val="26"/>
        </w:rPr>
      </w:pPr>
      <w:r w:rsidDel="00000000" w:rsidR="00000000" w:rsidRPr="00000000">
        <w:rPr>
          <w:i w:val="1"/>
          <w:sz w:val="26"/>
          <w:szCs w:val="26"/>
          <w:rtl w:val="0"/>
        </w:rPr>
        <w:t xml:space="preserve">Years 2–3: Scaling</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Expand to 10+ hubs; onboard SMEs via vouchers; certify interoperable toolkits.</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Integrate digital product passports and LCA modules into PM curricula; deploy federated learning sandboxes for multi</w:t>
      </w:r>
      <w:r w:rsidDel="00000000" w:rsidR="00000000" w:rsidRPr="00000000">
        <w:rPr>
          <w:rFonts w:ascii="Cambria Math" w:cs="Cambria Math" w:eastAsia="Cambria Math" w:hAnsi="Cambria Math"/>
          <w:b w:val="0"/>
          <w:i w:val="0"/>
          <w:smallCaps w:val="0"/>
          <w:strike w:val="0"/>
          <w:color w:val="000000"/>
          <w:sz w:val="26"/>
          <w:szCs w:val="26"/>
          <w:u w:val="none"/>
          <w:shd w:fill="auto" w:val="clear"/>
          <w:vertAlign w:val="baseline"/>
          <w:rtl w:val="0"/>
        </w:rPr>
        <w:t xml:space="preserve">‑</w:t>
      </w: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site training.</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Formalise paid apprenticeships in WBLTF with social partner agreements.</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Link CSRD reporting pilots to WBLTF PdM pipelines; publish sector benchmarks.</w:t>
      </w:r>
    </w:p>
    <w:p w:rsidR="00000000" w:rsidDel="00000000" w:rsidP="00000000" w:rsidRDefault="00000000" w:rsidRPr="00000000" w14:paraId="0000004A">
      <w:pPr>
        <w:jc w:val="both"/>
        <w:rPr>
          <w:i w:val="1"/>
          <w:sz w:val="26"/>
          <w:szCs w:val="26"/>
        </w:rPr>
      </w:pPr>
      <w:r w:rsidDel="00000000" w:rsidR="00000000" w:rsidRPr="00000000">
        <w:rPr>
          <w:i w:val="1"/>
          <w:sz w:val="26"/>
          <w:szCs w:val="26"/>
          <w:rtl w:val="0"/>
        </w:rPr>
        <w:t xml:space="preserve">Beyond Year 3: Mainstreaming</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Recognise micro</w:t>
      </w:r>
      <w:r w:rsidDel="00000000" w:rsidR="00000000" w:rsidRPr="00000000">
        <w:rPr>
          <w:rFonts w:ascii="Cambria Math" w:cs="Cambria Math" w:eastAsia="Cambria Math" w:hAnsi="Cambria Math"/>
          <w:b w:val="0"/>
          <w:i w:val="0"/>
          <w:smallCaps w:val="0"/>
          <w:strike w:val="0"/>
          <w:color w:val="000000"/>
          <w:sz w:val="26"/>
          <w:szCs w:val="26"/>
          <w:u w:val="none"/>
          <w:shd w:fill="auto" w:val="clear"/>
          <w:vertAlign w:val="baseline"/>
          <w:rtl w:val="0"/>
        </w:rPr>
        <w:t xml:space="preserve">‑</w:t>
      </w: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credentials nationally; embed WBLTF in public procurement for training.</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Scale annual cohorts to 5,000+ learners; track placement and wage outcomes.</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ptos" w:cs="Aptos" w:eastAsia="Aptos" w:hAnsi="Aptos"/>
          <w:b w:val="0"/>
          <w:i w:val="0"/>
          <w:smallCaps w:val="0"/>
          <w:strike w:val="0"/>
          <w:color w:val="000000"/>
          <w:sz w:val="26"/>
          <w:szCs w:val="26"/>
          <w:u w:val="none"/>
          <w:shd w:fill="auto" w:val="clear"/>
          <w:vertAlign w:val="baseline"/>
        </w:rPr>
      </w:pPr>
      <w:r w:rsidDel="00000000" w:rsidR="00000000" w:rsidRPr="00000000">
        <w:rPr>
          <w:rFonts w:ascii="Aptos" w:cs="Aptos" w:eastAsia="Aptos" w:hAnsi="Aptos"/>
          <w:b w:val="0"/>
          <w:i w:val="0"/>
          <w:smallCaps w:val="0"/>
          <w:strike w:val="0"/>
          <w:color w:val="000000"/>
          <w:sz w:val="26"/>
          <w:szCs w:val="26"/>
          <w:u w:val="none"/>
          <w:shd w:fill="auto" w:val="clear"/>
          <w:vertAlign w:val="baseline"/>
          <w:rtl w:val="0"/>
        </w:rPr>
        <w:t xml:space="preserve">Maintain living standards and playbooks; update for robotics/autonomous inspections and new ESG metrics.</w:t>
      </w:r>
    </w:p>
    <w:p w:rsidR="00000000" w:rsidDel="00000000" w:rsidP="00000000" w:rsidRDefault="00000000" w:rsidRPr="00000000" w14:paraId="0000004E">
      <w:pPr>
        <w:jc w:val="both"/>
        <w:rPr>
          <w:b w:val="1"/>
          <w:sz w:val="26"/>
          <w:szCs w:val="26"/>
        </w:rPr>
      </w:pPr>
      <w:r w:rsidDel="00000000" w:rsidR="00000000" w:rsidRPr="00000000">
        <w:rPr>
          <w:b w:val="1"/>
          <w:sz w:val="26"/>
          <w:szCs w:val="26"/>
          <w:rtl w:val="0"/>
        </w:rPr>
        <w:t xml:space="preserve">13. Governance that learns</w:t>
      </w:r>
    </w:p>
    <w:p w:rsidR="00000000" w:rsidDel="00000000" w:rsidP="00000000" w:rsidRDefault="00000000" w:rsidRPr="00000000" w14:paraId="0000004F">
      <w:pPr>
        <w:jc w:val="both"/>
        <w:rPr>
          <w:sz w:val="26"/>
          <w:szCs w:val="26"/>
        </w:rPr>
      </w:pPr>
      <w:r w:rsidDel="00000000" w:rsidR="00000000" w:rsidRPr="00000000">
        <w:rPr>
          <w:sz w:val="26"/>
          <w:szCs w:val="26"/>
          <w:rtl w:val="0"/>
        </w:rPr>
        <w:t xml:space="preserve">National steering groups should bring together education, labour, industry, and social partners to set direction and monitor results. Regional boards keep day-to-day operations on track, including inclusion goals and SME enrolment. An independent quality and ethics body protects safety, privacy, and fairness and reports publicly each year. Communities of practice meet regularly to trade lessons and improve the system together.</w:t>
      </w:r>
    </w:p>
    <w:p w:rsidR="00000000" w:rsidDel="00000000" w:rsidP="00000000" w:rsidRDefault="00000000" w:rsidRPr="00000000" w14:paraId="00000050">
      <w:pPr>
        <w:jc w:val="both"/>
        <w:rPr>
          <w:b w:val="1"/>
          <w:sz w:val="26"/>
          <w:szCs w:val="26"/>
        </w:rPr>
      </w:pPr>
      <w:r w:rsidDel="00000000" w:rsidR="00000000" w:rsidRPr="00000000">
        <w:rPr>
          <w:b w:val="1"/>
          <w:sz w:val="26"/>
          <w:szCs w:val="26"/>
          <w:rtl w:val="0"/>
        </w:rPr>
        <w:t xml:space="preserve">14. Managing risks with foresight</w:t>
      </w:r>
    </w:p>
    <w:p w:rsidR="00000000" w:rsidDel="00000000" w:rsidP="00000000" w:rsidRDefault="00000000" w:rsidRPr="00000000" w14:paraId="00000051">
      <w:pPr>
        <w:jc w:val="both"/>
        <w:rPr>
          <w:sz w:val="26"/>
          <w:szCs w:val="26"/>
        </w:rPr>
      </w:pPr>
      <w:r w:rsidDel="00000000" w:rsidR="00000000" w:rsidRPr="00000000">
        <w:rPr>
          <w:sz w:val="26"/>
          <w:szCs w:val="26"/>
          <w:rtl w:val="0"/>
        </w:rPr>
        <w:t xml:space="preserve">Safety is non-negotiable; supervisors must be empowered to stop work, and models should fail safely. Cyber resilience is maintained through regular testing and clear service levels for patches and restores. Metrics are protected from gaming through cross-checks and audits. Continuity plans ensure learning and production can continue remotely if needed. Legal clarity on apprenticeships, IP, and data responsibilities avoids friction later.</w:t>
      </w:r>
    </w:p>
    <w:p w:rsidR="00000000" w:rsidDel="00000000" w:rsidP="00000000" w:rsidRDefault="00000000" w:rsidRPr="00000000" w14:paraId="00000052">
      <w:pPr>
        <w:jc w:val="both"/>
        <w:rPr>
          <w:b w:val="1"/>
          <w:sz w:val="26"/>
          <w:szCs w:val="26"/>
        </w:rPr>
      </w:pPr>
      <w:r w:rsidDel="00000000" w:rsidR="00000000" w:rsidRPr="00000000">
        <w:rPr>
          <w:b w:val="1"/>
          <w:sz w:val="26"/>
          <w:szCs w:val="26"/>
          <w:rtl w:val="0"/>
        </w:rPr>
        <w:t xml:space="preserve">15. Sector nuances</w:t>
      </w:r>
    </w:p>
    <w:p w:rsidR="00000000" w:rsidDel="00000000" w:rsidP="00000000" w:rsidRDefault="00000000" w:rsidRPr="00000000" w14:paraId="00000053">
      <w:pPr>
        <w:jc w:val="both"/>
        <w:rPr>
          <w:sz w:val="26"/>
          <w:szCs w:val="26"/>
        </w:rPr>
      </w:pPr>
      <w:r w:rsidDel="00000000" w:rsidR="00000000" w:rsidRPr="00000000">
        <w:rPr>
          <w:sz w:val="26"/>
          <w:szCs w:val="26"/>
          <w:rtl w:val="0"/>
        </w:rPr>
        <w:t xml:space="preserve">Different sectors emphasize different gains. Discrete manufacturing benefits from digital twins and rapid reductions in scrap and time-to-productivity. Process industries focus on predictive cleaning, compliance, and incident prevention. Water and utilities prioritize leak detection, pump efficiency, and cross-municipal learning. Rail and transport advance wheel and track health and calmer, safer control rooms. Buildings and focus on energy-aware maintenance and occupant comfort with strong remote diagnostics.</w:t>
      </w:r>
    </w:p>
    <w:p w:rsidR="00000000" w:rsidDel="00000000" w:rsidP="00000000" w:rsidRDefault="00000000" w:rsidRPr="00000000" w14:paraId="00000054">
      <w:pPr>
        <w:jc w:val="both"/>
        <w:rPr>
          <w:b w:val="1"/>
          <w:sz w:val="26"/>
          <w:szCs w:val="26"/>
        </w:rPr>
      </w:pPr>
      <w:r w:rsidDel="00000000" w:rsidR="00000000" w:rsidRPr="00000000">
        <w:rPr>
          <w:b w:val="1"/>
          <w:sz w:val="26"/>
          <w:szCs w:val="26"/>
          <w:rtl w:val="0"/>
        </w:rPr>
        <w:t xml:space="preserve">16. What success looks like</w:t>
      </w:r>
    </w:p>
    <w:p w:rsidR="00000000" w:rsidDel="00000000" w:rsidP="00000000" w:rsidRDefault="00000000" w:rsidRPr="00000000" w14:paraId="00000055">
      <w:pPr>
        <w:jc w:val="both"/>
        <w:rPr>
          <w:sz w:val="26"/>
          <w:szCs w:val="26"/>
        </w:rPr>
      </w:pPr>
      <w:r w:rsidDel="00000000" w:rsidR="00000000" w:rsidRPr="00000000">
        <w:rPr>
          <w:sz w:val="26"/>
          <w:szCs w:val="26"/>
          <w:rtl w:val="0"/>
        </w:rPr>
        <w:t xml:space="preserve">In a mature WBLTF ecosystem, learners move seamlessly between classrooms, digital labs, and factory cells, earning micro-credentials that employers recognize immediately. SMEs join easily, using secure starter kits and managed services, and see tangible gains in months. Sustainability becomes part of everyday decisions (less energy and water used, fewer spills, smarter scheduling), while safety strengthens as exposure hours fall and robots take the riskiest jobs. Reporting becomes simpler and truer, because evidence flows directly from the systems that maintain assets and the factories that teach people how to do it.</w:t>
      </w:r>
    </w:p>
    <w:p w:rsidR="00000000" w:rsidDel="00000000" w:rsidP="00000000" w:rsidRDefault="00000000" w:rsidRPr="00000000" w14:paraId="00000056">
      <w:pPr>
        <w:jc w:val="both"/>
        <w:rPr>
          <w:b w:val="1"/>
          <w:sz w:val="26"/>
          <w:szCs w:val="26"/>
        </w:rPr>
      </w:pPr>
      <w:r w:rsidDel="00000000" w:rsidR="00000000" w:rsidRPr="00000000">
        <w:rPr>
          <w:b w:val="1"/>
          <w:sz w:val="26"/>
          <w:szCs w:val="26"/>
          <w:rtl w:val="0"/>
        </w:rPr>
        <w:t xml:space="preserve">Closing thought</w:t>
      </w:r>
    </w:p>
    <w:p w:rsidR="00000000" w:rsidDel="00000000" w:rsidP="00000000" w:rsidRDefault="00000000" w:rsidRPr="00000000" w14:paraId="00000057">
      <w:pPr>
        <w:jc w:val="both"/>
        <w:rPr>
          <w:sz w:val="26"/>
          <w:szCs w:val="26"/>
        </w:rPr>
      </w:pPr>
      <w:r w:rsidDel="00000000" w:rsidR="00000000" w:rsidRPr="00000000">
        <w:rPr>
          <w:sz w:val="26"/>
          <w:szCs w:val="26"/>
          <w:rtl w:val="0"/>
        </w:rPr>
        <w:t xml:space="preserve">Dual education anchored in Work-Based Learning Teaching Factories turns deep-tech predictive maintenance from a promising concept into daily practice. With a clear pedagogy, a robust hybrid architecture, interoperable tools, and funding tied to verified outcomes, Europe can widen access to good work, strengthen SMEs, and accelerate the green and digital transitions. The pieces are ready; what remains is to assemble them at scale, with care, with evidence, and with everyone invited.</w:t>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Cambria Math">
    <w:embedRegular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drawing>
        <wp:inline distB="0" distT="0" distL="0" distR="0">
          <wp:extent cx="5731510" cy="1252855"/>
          <wp:effectExtent b="0" l="0" r="0" t="0"/>
          <wp:docPr descr="PreVEnT" id="1477060489" name="image1.png"/>
          <a:graphic>
            <a:graphicData uri="http://schemas.openxmlformats.org/drawingml/2006/picture">
              <pic:pic>
                <pic:nvPicPr>
                  <pic:cNvPr descr="PreVEnT" id="0" name="image1.png"/>
                  <pic:cNvPicPr preferRelativeResize="0"/>
                </pic:nvPicPr>
                <pic:blipFill>
                  <a:blip r:embed="rId1"/>
                  <a:srcRect b="0" l="0" r="0" t="0"/>
                  <a:stretch>
                    <a:fillRect/>
                  </a:stretch>
                </pic:blipFill>
                <pic:spPr>
                  <a:xfrm>
                    <a:off x="0" y="0"/>
                    <a:ext cx="5731510" cy="125285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lu7">
    <w:name w:val="heading 7"/>
    <w:basedOn w:val="Normal"/>
    <w:next w:val="Normal"/>
    <w:link w:val="Titlu7Caracter"/>
    <w:uiPriority w:val="9"/>
    <w:semiHidden w:val="1"/>
    <w:unhideWhenUsed w:val="1"/>
    <w:qFormat w:val="1"/>
    <w:rsid w:val="008044E0"/>
    <w:pPr>
      <w:keepNext w:val="1"/>
      <w:keepLines w:val="1"/>
      <w:spacing w:after="0" w:before="40"/>
      <w:outlineLvl w:val="6"/>
    </w:pPr>
    <w:rPr>
      <w:rFonts w:cstheme="majorBidi" w:eastAsiaTheme="majorEastAsia"/>
      <w:color w:val="595959" w:themeColor="text1" w:themeTint="0000A6"/>
    </w:rPr>
  </w:style>
  <w:style w:type="paragraph" w:styleId="Titlu8">
    <w:name w:val="heading 8"/>
    <w:basedOn w:val="Normal"/>
    <w:next w:val="Normal"/>
    <w:link w:val="Titlu8Caracter"/>
    <w:uiPriority w:val="9"/>
    <w:semiHidden w:val="1"/>
    <w:unhideWhenUsed w:val="1"/>
    <w:qFormat w:val="1"/>
    <w:rsid w:val="008044E0"/>
    <w:pPr>
      <w:keepNext w:val="1"/>
      <w:keepLines w:val="1"/>
      <w:spacing w:after="0"/>
      <w:outlineLvl w:val="7"/>
    </w:pPr>
    <w:rPr>
      <w:rFonts w:cstheme="majorBidi" w:eastAsiaTheme="majorEastAsia"/>
      <w:i w:val="1"/>
      <w:iCs w:val="1"/>
      <w:color w:val="272727" w:themeColor="text1" w:themeTint="0000D8"/>
    </w:rPr>
  </w:style>
  <w:style w:type="paragraph" w:styleId="Titlu9">
    <w:name w:val="heading 9"/>
    <w:basedOn w:val="Normal"/>
    <w:next w:val="Normal"/>
    <w:link w:val="Titlu9Caracter"/>
    <w:uiPriority w:val="9"/>
    <w:semiHidden w:val="1"/>
    <w:unhideWhenUsed w:val="1"/>
    <w:qFormat w:val="1"/>
    <w:rsid w:val="008044E0"/>
    <w:pPr>
      <w:keepNext w:val="1"/>
      <w:keepLines w:val="1"/>
      <w:spacing w:after="0"/>
      <w:outlineLvl w:val="8"/>
    </w:pPr>
    <w:rPr>
      <w:rFonts w:cstheme="majorBidi" w:eastAsiaTheme="majorEastAsia"/>
      <w:color w:val="272727" w:themeColor="text1" w:themeTint="0000D8"/>
    </w:rPr>
  </w:style>
  <w:style w:type="character" w:styleId="Fontdeparagrafimplicit" w:default="1">
    <w:name w:val="Default Paragraph Font"/>
    <w:uiPriority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character" w:styleId="Titlu1Caracter" w:customStyle="1">
    <w:name w:val="Titlu 1 Caracter"/>
    <w:basedOn w:val="Fontdeparagrafimplicit"/>
    <w:link w:val="Titlu1"/>
    <w:uiPriority w:val="9"/>
    <w:rsid w:val="008044E0"/>
    <w:rPr>
      <w:rFonts w:asciiTheme="majorHAnsi" w:cstheme="majorBidi" w:eastAsiaTheme="majorEastAsia" w:hAnsiTheme="majorHAnsi"/>
      <w:color w:val="0f4761" w:themeColor="accent1" w:themeShade="0000BF"/>
      <w:sz w:val="40"/>
      <w:szCs w:val="40"/>
    </w:rPr>
  </w:style>
  <w:style w:type="character" w:styleId="Titlu2Caracter" w:customStyle="1">
    <w:name w:val="Titlu 2 Caracter"/>
    <w:basedOn w:val="Fontdeparagrafimplicit"/>
    <w:link w:val="Titlu2"/>
    <w:uiPriority w:val="9"/>
    <w:semiHidden w:val="1"/>
    <w:rsid w:val="008044E0"/>
    <w:rPr>
      <w:rFonts w:asciiTheme="majorHAnsi" w:cstheme="majorBidi" w:eastAsiaTheme="majorEastAsia" w:hAnsiTheme="majorHAnsi"/>
      <w:color w:val="0f4761" w:themeColor="accent1" w:themeShade="0000BF"/>
      <w:sz w:val="32"/>
      <w:szCs w:val="32"/>
    </w:rPr>
  </w:style>
  <w:style w:type="character" w:styleId="Titlu3Caracter" w:customStyle="1">
    <w:name w:val="Titlu 3 Caracter"/>
    <w:basedOn w:val="Fontdeparagrafimplicit"/>
    <w:link w:val="Titlu3"/>
    <w:uiPriority w:val="9"/>
    <w:semiHidden w:val="1"/>
    <w:rsid w:val="008044E0"/>
    <w:rPr>
      <w:rFonts w:cstheme="majorBidi" w:eastAsiaTheme="majorEastAsia"/>
      <w:color w:val="0f4761" w:themeColor="accent1" w:themeShade="0000BF"/>
      <w:sz w:val="28"/>
      <w:szCs w:val="28"/>
    </w:rPr>
  </w:style>
  <w:style w:type="character" w:styleId="Titlu4Caracter" w:customStyle="1">
    <w:name w:val="Titlu 4 Caracter"/>
    <w:basedOn w:val="Fontdeparagrafimplicit"/>
    <w:link w:val="Titlu4"/>
    <w:uiPriority w:val="9"/>
    <w:semiHidden w:val="1"/>
    <w:rsid w:val="008044E0"/>
    <w:rPr>
      <w:rFonts w:cstheme="majorBidi" w:eastAsiaTheme="majorEastAsia"/>
      <w:i w:val="1"/>
      <w:iCs w:val="1"/>
      <w:color w:val="0f4761" w:themeColor="accent1" w:themeShade="0000BF"/>
    </w:rPr>
  </w:style>
  <w:style w:type="character" w:styleId="Titlu5Caracter" w:customStyle="1">
    <w:name w:val="Titlu 5 Caracter"/>
    <w:basedOn w:val="Fontdeparagrafimplicit"/>
    <w:link w:val="Titlu5"/>
    <w:uiPriority w:val="9"/>
    <w:semiHidden w:val="1"/>
    <w:rsid w:val="008044E0"/>
    <w:rPr>
      <w:rFonts w:cstheme="majorBidi" w:eastAsiaTheme="majorEastAsia"/>
      <w:color w:val="0f4761" w:themeColor="accent1" w:themeShade="0000BF"/>
    </w:rPr>
  </w:style>
  <w:style w:type="character" w:styleId="Titlu6Caracter" w:customStyle="1">
    <w:name w:val="Titlu 6 Caracter"/>
    <w:basedOn w:val="Fontdeparagrafimplicit"/>
    <w:link w:val="Titlu6"/>
    <w:uiPriority w:val="9"/>
    <w:semiHidden w:val="1"/>
    <w:rsid w:val="008044E0"/>
    <w:rPr>
      <w:rFonts w:cstheme="majorBidi" w:eastAsiaTheme="majorEastAsia"/>
      <w:i w:val="1"/>
      <w:iCs w:val="1"/>
      <w:color w:val="595959" w:themeColor="text1" w:themeTint="0000A6"/>
    </w:rPr>
  </w:style>
  <w:style w:type="character" w:styleId="Titlu7Caracter" w:customStyle="1">
    <w:name w:val="Titlu 7 Caracter"/>
    <w:basedOn w:val="Fontdeparagrafimplicit"/>
    <w:link w:val="Titlu7"/>
    <w:uiPriority w:val="9"/>
    <w:semiHidden w:val="1"/>
    <w:rsid w:val="008044E0"/>
    <w:rPr>
      <w:rFonts w:cstheme="majorBidi" w:eastAsiaTheme="majorEastAsia"/>
      <w:color w:val="595959" w:themeColor="text1" w:themeTint="0000A6"/>
    </w:rPr>
  </w:style>
  <w:style w:type="character" w:styleId="Titlu8Caracter" w:customStyle="1">
    <w:name w:val="Titlu 8 Caracter"/>
    <w:basedOn w:val="Fontdeparagrafimplicit"/>
    <w:link w:val="Titlu8"/>
    <w:uiPriority w:val="9"/>
    <w:semiHidden w:val="1"/>
    <w:rsid w:val="008044E0"/>
    <w:rPr>
      <w:rFonts w:cstheme="majorBidi" w:eastAsiaTheme="majorEastAsia"/>
      <w:i w:val="1"/>
      <w:iCs w:val="1"/>
      <w:color w:val="272727" w:themeColor="text1" w:themeTint="0000D8"/>
    </w:rPr>
  </w:style>
  <w:style w:type="character" w:styleId="Titlu9Caracter" w:customStyle="1">
    <w:name w:val="Titlu 9 Caracter"/>
    <w:basedOn w:val="Fontdeparagrafimplicit"/>
    <w:link w:val="Titlu9"/>
    <w:uiPriority w:val="9"/>
    <w:semiHidden w:val="1"/>
    <w:rsid w:val="008044E0"/>
    <w:rPr>
      <w:rFonts w:cstheme="majorBidi" w:eastAsiaTheme="majorEastAsia"/>
      <w:color w:val="272727" w:themeColor="text1" w:themeTint="0000D8"/>
    </w:rPr>
  </w:style>
  <w:style w:type="character" w:styleId="TitluCaracter" w:customStyle="1">
    <w:name w:val="Titlu Caracter"/>
    <w:basedOn w:val="Fontdeparagrafimplicit"/>
    <w:link w:val="Titlu"/>
    <w:uiPriority w:val="10"/>
    <w:rsid w:val="008044E0"/>
    <w:rPr>
      <w:rFonts w:asciiTheme="majorHAnsi" w:cstheme="majorBidi" w:eastAsiaTheme="majorEastAsia" w:hAnsiTheme="majorHAnsi"/>
      <w:spacing w:val="-10"/>
      <w:kern w:val="28"/>
      <w:sz w:val="56"/>
      <w:szCs w:val="56"/>
    </w:rPr>
  </w:style>
  <w:style w:type="character" w:styleId="SubtitluCaracter" w:customStyle="1">
    <w:name w:val="Subtitlu Caracter"/>
    <w:basedOn w:val="Fontdeparagrafimplicit"/>
    <w:link w:val="Subtitlu"/>
    <w:uiPriority w:val="11"/>
    <w:rsid w:val="008044E0"/>
    <w:rPr>
      <w:rFonts w:cstheme="majorBidi" w:eastAsiaTheme="majorEastAsia"/>
      <w:color w:val="595959" w:themeColor="text1" w:themeTint="0000A6"/>
      <w:spacing w:val="15"/>
      <w:sz w:val="28"/>
      <w:szCs w:val="28"/>
    </w:rPr>
  </w:style>
  <w:style w:type="paragraph" w:styleId="Citat">
    <w:name w:val="Quote"/>
    <w:basedOn w:val="Normal"/>
    <w:next w:val="Normal"/>
    <w:link w:val="CitatCaracter"/>
    <w:uiPriority w:val="29"/>
    <w:qFormat w:val="1"/>
    <w:rsid w:val="008044E0"/>
    <w:pPr>
      <w:spacing w:before="160"/>
      <w:jc w:val="center"/>
    </w:pPr>
    <w:rPr>
      <w:i w:val="1"/>
      <w:iCs w:val="1"/>
      <w:color w:val="404040" w:themeColor="text1" w:themeTint="0000BF"/>
    </w:rPr>
  </w:style>
  <w:style w:type="character" w:styleId="CitatCaracter" w:customStyle="1">
    <w:name w:val="Citat Caracter"/>
    <w:basedOn w:val="Fontdeparagrafimplicit"/>
    <w:link w:val="Citat"/>
    <w:uiPriority w:val="29"/>
    <w:rsid w:val="008044E0"/>
    <w:rPr>
      <w:i w:val="1"/>
      <w:iCs w:val="1"/>
      <w:color w:val="404040" w:themeColor="text1" w:themeTint="0000BF"/>
    </w:rPr>
  </w:style>
  <w:style w:type="paragraph" w:styleId="Listparagraf">
    <w:name w:val="List Paragraph"/>
    <w:basedOn w:val="Normal"/>
    <w:uiPriority w:val="34"/>
    <w:qFormat w:val="1"/>
    <w:rsid w:val="008044E0"/>
    <w:pPr>
      <w:ind w:left="720"/>
      <w:contextualSpacing w:val="1"/>
    </w:pPr>
  </w:style>
  <w:style w:type="character" w:styleId="Accentuareintens">
    <w:name w:val="Intense Emphasis"/>
    <w:basedOn w:val="Fontdeparagrafimplicit"/>
    <w:uiPriority w:val="21"/>
    <w:qFormat w:val="1"/>
    <w:rsid w:val="008044E0"/>
    <w:rPr>
      <w:i w:val="1"/>
      <w:iCs w:val="1"/>
      <w:color w:val="0f4761" w:themeColor="accent1" w:themeShade="0000BF"/>
    </w:rPr>
  </w:style>
  <w:style w:type="paragraph" w:styleId="Citatintens">
    <w:name w:val="Intense Quote"/>
    <w:basedOn w:val="Normal"/>
    <w:next w:val="Normal"/>
    <w:link w:val="CitatintensCaracter"/>
    <w:uiPriority w:val="30"/>
    <w:qFormat w:val="1"/>
    <w:rsid w:val="008044E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ntensCaracter" w:customStyle="1">
    <w:name w:val="Citat intens Caracter"/>
    <w:basedOn w:val="Fontdeparagrafimplicit"/>
    <w:link w:val="Citatintens"/>
    <w:uiPriority w:val="30"/>
    <w:rsid w:val="008044E0"/>
    <w:rPr>
      <w:i w:val="1"/>
      <w:iCs w:val="1"/>
      <w:color w:val="0f4761" w:themeColor="accent1" w:themeShade="0000BF"/>
    </w:rPr>
  </w:style>
  <w:style w:type="character" w:styleId="Referireintens">
    <w:name w:val="Intense Reference"/>
    <w:basedOn w:val="Fontdeparagrafimplicit"/>
    <w:uiPriority w:val="32"/>
    <w:qFormat w:val="1"/>
    <w:rsid w:val="008044E0"/>
    <w:rPr>
      <w:b w:val="1"/>
      <w:bCs w:val="1"/>
      <w:smallCaps w:val="1"/>
      <w:color w:val="0f4761" w:themeColor="accent1" w:themeShade="0000BF"/>
      <w:spacing w:val="5"/>
    </w:rPr>
  </w:style>
  <w:style w:type="character" w:styleId="Hyperlink">
    <w:name w:val="Hyperlink"/>
    <w:basedOn w:val="Fontdeparagrafimplicit"/>
    <w:uiPriority w:val="99"/>
    <w:unhideWhenUsed w:val="1"/>
    <w:rsid w:val="00D90AF7"/>
    <w:rPr>
      <w:color w:val="467886" w:themeColor="hyperlink"/>
      <w:u w:val="single"/>
    </w:rPr>
  </w:style>
  <w:style w:type="character" w:styleId="MeniuneNerezolvat">
    <w:name w:val="Unresolved Mention"/>
    <w:basedOn w:val="Fontdeparagrafimplicit"/>
    <w:uiPriority w:val="99"/>
    <w:semiHidden w:val="1"/>
    <w:unhideWhenUsed w:val="1"/>
    <w:rsid w:val="00D90AF7"/>
    <w:rPr>
      <w:color w:val="605e5c"/>
      <w:shd w:color="auto" w:fill="e1dfdd" w:val="clear"/>
    </w:rPr>
  </w:style>
  <w:style w:type="paragraph" w:styleId="Frspaiere">
    <w:name w:val="No Spacing"/>
    <w:uiPriority w:val="1"/>
    <w:qFormat w:val="1"/>
    <w:rsid w:val="00031B66"/>
    <w:pPr>
      <w:spacing w:after="0" w:line="240" w:lineRule="auto"/>
    </w:pPr>
  </w:style>
  <w:style w:type="paragraph" w:styleId="Antet">
    <w:name w:val="header"/>
    <w:basedOn w:val="Normal"/>
    <w:link w:val="AntetCaracter"/>
    <w:uiPriority w:val="99"/>
    <w:unhideWhenUsed w:val="1"/>
    <w:rsid w:val="002D178E"/>
    <w:pPr>
      <w:tabs>
        <w:tab w:val="center" w:pos="4513"/>
        <w:tab w:val="right" w:pos="9026"/>
      </w:tabs>
      <w:spacing w:after="0" w:line="240" w:lineRule="auto"/>
    </w:pPr>
  </w:style>
  <w:style w:type="character" w:styleId="AntetCaracter" w:customStyle="1">
    <w:name w:val="Antet Caracter"/>
    <w:basedOn w:val="Fontdeparagrafimplicit"/>
    <w:link w:val="Antet"/>
    <w:uiPriority w:val="99"/>
    <w:rsid w:val="002D178E"/>
  </w:style>
  <w:style w:type="paragraph" w:styleId="Subsol">
    <w:name w:val="footer"/>
    <w:basedOn w:val="Normal"/>
    <w:link w:val="SubsolCaracter"/>
    <w:uiPriority w:val="99"/>
    <w:unhideWhenUsed w:val="1"/>
    <w:rsid w:val="002D178E"/>
    <w:pPr>
      <w:tabs>
        <w:tab w:val="center" w:pos="4513"/>
        <w:tab w:val="right" w:pos="9026"/>
      </w:tabs>
      <w:spacing w:after="0" w:line="240" w:lineRule="auto"/>
    </w:pPr>
  </w:style>
  <w:style w:type="character" w:styleId="SubsolCaracter" w:customStyle="1">
    <w:name w:val="Subsol Caracter"/>
    <w:basedOn w:val="Fontdeparagrafimplicit"/>
    <w:link w:val="Subsol"/>
    <w:uiPriority w:val="99"/>
    <w:rsid w:val="002D178E"/>
  </w:style>
  <w:style w:type="paragraph" w:styleId="NormalWeb">
    <w:name w:val="Normal (Web)"/>
    <w:basedOn w:val="Normal"/>
    <w:uiPriority w:val="99"/>
    <w:semiHidden w:val="1"/>
    <w:unhideWhenUsed w:val="1"/>
    <w:rsid w:val="00D636D5"/>
    <w:rPr>
      <w:rFonts w:ascii="Times New Roman" w:cs="Times New Roman" w:hAnsi="Times New Roman"/>
      <w:sz w:val="24"/>
      <w:szCs w:val="24"/>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iVQb5U2hRx+weNwy2SIoj3OJEQ==">CgMxLjA4AHIhMWtLR1pEZDZoRnZDS3g5bFJXVWNUVE5RdzRkUVFVY2VK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2025-10-29T12:15:00Z</dcterms:created>
  <dc:creator>Emilia Binchiciu</dc:creator>
</cp:coreProperties>
</file>