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ADB3" w14:textId="77777777" w:rsidR="002E0809" w:rsidRPr="005E4992" w:rsidRDefault="002E0809" w:rsidP="002E0809">
      <w:pPr>
        <w:pStyle w:val="Heading1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POLICY RECOMMENDATION REPORT</w:t>
      </w:r>
    </w:p>
    <w:p w14:paraId="30FC9228" w14:textId="516718AA" w:rsidR="002E0809" w:rsidRPr="005E4992" w:rsidRDefault="002E0809" w:rsidP="002E0809">
      <w:pPr>
        <w:pStyle w:val="Title"/>
        <w:rPr>
          <w:rFonts w:eastAsia="Times New Roman"/>
          <w:sz w:val="52"/>
          <w:szCs w:val="52"/>
          <w:lang w:val="en-GB"/>
        </w:rPr>
      </w:pPr>
      <w:r w:rsidRPr="005E4992">
        <w:rPr>
          <w:rFonts w:eastAsia="Times New Roman"/>
          <w:sz w:val="52"/>
          <w:szCs w:val="52"/>
          <w:lang w:val="en-GB"/>
        </w:rPr>
        <w:t>Labour Market Orientation of VET programmes</w:t>
      </w:r>
    </w:p>
    <w:p w14:paraId="647FD21C" w14:textId="77777777" w:rsidR="002E0809" w:rsidRPr="002E0809" w:rsidRDefault="002E0809" w:rsidP="002E0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A Policy Framework Based on the PreVEnT Project – Deep-Tech Predictive Maintenance for Sustainable and Resilient Industry</w:t>
      </w:r>
    </w:p>
    <w:p w14:paraId="07082C45" w14:textId="77777777" w:rsidR="002E0809" w:rsidRPr="005E4992" w:rsidRDefault="002E0809" w:rsidP="002E0809">
      <w:pPr>
        <w:rPr>
          <w:lang w:val="en-GB"/>
        </w:rPr>
      </w:pPr>
    </w:p>
    <w:p w14:paraId="6E8EAA30" w14:textId="054D7182" w:rsidR="002E0809" w:rsidRPr="005E4992" w:rsidRDefault="002E0809" w:rsidP="002E0809">
      <w:pPr>
        <w:pStyle w:val="Heading2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1. Executive Summary</w:t>
      </w:r>
    </w:p>
    <w:p w14:paraId="05D096A5" w14:textId="77777777" w:rsidR="00F011A8" w:rsidRPr="005E4992" w:rsidRDefault="00F011A8" w:rsidP="00F011A8">
      <w:pPr>
        <w:jc w:val="both"/>
        <w:rPr>
          <w:lang w:val="en-GB"/>
        </w:rPr>
      </w:pPr>
      <w:r w:rsidRPr="005E4992">
        <w:rPr>
          <w:lang w:val="en-GB"/>
        </w:rPr>
        <w:t xml:space="preserve">Europe’s industrial resilience hinges on its ability to align Vocational Education and Training (VET) with evolving labour-market realities. </w:t>
      </w:r>
    </w:p>
    <w:p w14:paraId="49E672C3" w14:textId="321BE3D4" w:rsidR="00F011A8" w:rsidRPr="005E4992" w:rsidRDefault="00F011A8" w:rsidP="00F011A8">
      <w:pPr>
        <w:jc w:val="both"/>
        <w:rPr>
          <w:lang w:val="en-GB"/>
        </w:rPr>
      </w:pPr>
      <w:r w:rsidRPr="005E4992">
        <w:rPr>
          <w:lang w:val="en-GB"/>
        </w:rPr>
        <w:t>The twin digital and green transitions have altered skill requirements across all sectors, yet a persistent skills gap in Artificial Intelligence (AI), Predictive Maintenance (PM), and data-driven sustainability continues to limit competitiveness, especially among SMEs.</w:t>
      </w:r>
    </w:p>
    <w:p w14:paraId="28CD750A" w14:textId="77777777" w:rsidR="00F011A8" w:rsidRPr="005E4992" w:rsidRDefault="00F011A8" w:rsidP="00F011A8">
      <w:pPr>
        <w:jc w:val="both"/>
        <w:rPr>
          <w:lang w:val="en-GB"/>
        </w:rPr>
      </w:pPr>
      <w:r w:rsidRPr="005E4992">
        <w:rPr>
          <w:lang w:val="en-GB"/>
        </w:rPr>
        <w:t xml:space="preserve">The PreVEnT Project (Erasmus+) has proven that dual education, supported by Work-Based Learning (WBL) and Teaching Factories (TFs), provides a scalable mechanism to close this gap. Its findings across Italy, Spain, and Finland show employability gains of +28 %, improved trainer capacity (+32 % </w:t>
      </w:r>
      <w:proofErr w:type="spellStart"/>
      <w:r w:rsidRPr="005E4992">
        <w:rPr>
          <w:lang w:val="en-GB"/>
        </w:rPr>
        <w:t>DigCompEdu</w:t>
      </w:r>
      <w:proofErr w:type="spellEnd"/>
      <w:r w:rsidRPr="005E4992">
        <w:rPr>
          <w:lang w:val="en-GB"/>
        </w:rPr>
        <w:t>), and measurable industrial benefits (−15 % downtime, −8 % energy use).</w:t>
      </w:r>
    </w:p>
    <w:p w14:paraId="6D0FBE12" w14:textId="77777777" w:rsidR="00F011A8" w:rsidRPr="005E4992" w:rsidRDefault="00F011A8" w:rsidP="00F011A8">
      <w:pPr>
        <w:jc w:val="both"/>
        <w:rPr>
          <w:lang w:val="en-GB"/>
        </w:rPr>
      </w:pPr>
      <w:r w:rsidRPr="005E4992">
        <w:rPr>
          <w:lang w:val="en-GB"/>
        </w:rPr>
        <w:t xml:space="preserve">This policy recommendation presents an EU-wide roadmap to strengthen the labour-market orientation (LMO) of VET. It targets both </w:t>
      </w:r>
      <w:r w:rsidRPr="005E4992">
        <w:rPr>
          <w:u w:val="single"/>
          <w:lang w:val="en-GB"/>
        </w:rPr>
        <w:t>trainees</w:t>
      </w:r>
      <w:r w:rsidRPr="005E4992">
        <w:rPr>
          <w:lang w:val="en-GB"/>
        </w:rPr>
        <w:t xml:space="preserve"> (curricular reform, micro-credentials, sustainability competences) and </w:t>
      </w:r>
      <w:r w:rsidRPr="005E4992">
        <w:rPr>
          <w:u w:val="single"/>
          <w:lang w:val="en-GB"/>
        </w:rPr>
        <w:t>trainers</w:t>
      </w:r>
      <w:r w:rsidRPr="005E4992">
        <w:rPr>
          <w:lang w:val="en-GB"/>
        </w:rPr>
        <w:t xml:space="preserve"> (digital pedagogy, hybrid teaching environments, open resources).</w:t>
      </w:r>
    </w:p>
    <w:p w14:paraId="0FFBB6A6" w14:textId="77777777" w:rsidR="00F011A8" w:rsidRPr="005E4992" w:rsidRDefault="00F011A8" w:rsidP="00F011A8">
      <w:pPr>
        <w:ind w:firstLine="720"/>
        <w:rPr>
          <w:b/>
          <w:bCs/>
          <w:lang w:val="en-GB"/>
        </w:rPr>
      </w:pPr>
      <w:r w:rsidRPr="005E4992">
        <w:rPr>
          <w:b/>
          <w:bCs/>
          <w:lang w:val="en-GB"/>
        </w:rPr>
        <w:t>Key recommendations:</w:t>
      </w:r>
    </w:p>
    <w:p w14:paraId="368D6A93" w14:textId="2CA73D1E" w:rsidR="002C6417" w:rsidRPr="002C6417" w:rsidRDefault="00F011A8" w:rsidP="002C6417">
      <w:pPr>
        <w:pStyle w:val="ListParagraph"/>
        <w:numPr>
          <w:ilvl w:val="0"/>
          <w:numId w:val="23"/>
        </w:numPr>
        <w:rPr>
          <w:lang w:val="en-GB"/>
        </w:rPr>
      </w:pPr>
      <w:r w:rsidRPr="005E4992">
        <w:rPr>
          <w:lang w:val="en-GB"/>
        </w:rPr>
        <w:t>Embed Predictive Maintenance, AI, and ML as core competences in all industrial VET curricula.</w:t>
      </w:r>
    </w:p>
    <w:p w14:paraId="35EE2AFD" w14:textId="77777777" w:rsidR="00F011A8" w:rsidRPr="005E4992" w:rsidRDefault="00F011A8" w:rsidP="00F011A8">
      <w:pPr>
        <w:pStyle w:val="ListParagraph"/>
        <w:numPr>
          <w:ilvl w:val="0"/>
          <w:numId w:val="23"/>
        </w:numPr>
        <w:rPr>
          <w:lang w:val="en-GB"/>
        </w:rPr>
      </w:pPr>
      <w:r w:rsidRPr="005E4992">
        <w:rPr>
          <w:lang w:val="en-GB"/>
        </w:rPr>
        <w:t xml:space="preserve">Certify these skills through stackable, portable micro-credentials issued via </w:t>
      </w:r>
      <w:proofErr w:type="spellStart"/>
      <w:r w:rsidRPr="005E4992">
        <w:rPr>
          <w:lang w:val="en-GB"/>
        </w:rPr>
        <w:t>Europass</w:t>
      </w:r>
      <w:proofErr w:type="spellEnd"/>
      <w:r w:rsidRPr="005E4992">
        <w:rPr>
          <w:lang w:val="en-GB"/>
        </w:rPr>
        <w:t>.</w:t>
      </w:r>
    </w:p>
    <w:p w14:paraId="0CF3EB87" w14:textId="77777777" w:rsidR="00F011A8" w:rsidRPr="005E4992" w:rsidRDefault="00F011A8" w:rsidP="00F011A8">
      <w:pPr>
        <w:pStyle w:val="ListParagraph"/>
        <w:numPr>
          <w:ilvl w:val="0"/>
          <w:numId w:val="23"/>
        </w:numPr>
        <w:rPr>
          <w:lang w:val="en-GB"/>
        </w:rPr>
      </w:pPr>
      <w:r w:rsidRPr="005E4992">
        <w:rPr>
          <w:lang w:val="en-GB"/>
        </w:rPr>
        <w:t>Establish a European network of Work-Based Learning Teaching Factories (WBLTFs).</w:t>
      </w:r>
    </w:p>
    <w:p w14:paraId="049F55B1" w14:textId="77777777" w:rsidR="00F011A8" w:rsidRPr="005E4992" w:rsidRDefault="00F011A8" w:rsidP="00F011A8">
      <w:pPr>
        <w:pStyle w:val="ListParagraph"/>
        <w:numPr>
          <w:ilvl w:val="0"/>
          <w:numId w:val="23"/>
        </w:numPr>
        <w:rPr>
          <w:lang w:val="en-GB"/>
        </w:rPr>
      </w:pPr>
      <w:r w:rsidRPr="005E4992">
        <w:rPr>
          <w:lang w:val="en-GB"/>
        </w:rPr>
        <w:t>Upskill trainers in digital pedagogy (</w:t>
      </w:r>
      <w:proofErr w:type="spellStart"/>
      <w:r w:rsidRPr="005E4992">
        <w:rPr>
          <w:lang w:val="en-GB"/>
        </w:rPr>
        <w:t>DigCompEdu</w:t>
      </w:r>
      <w:proofErr w:type="spellEnd"/>
      <w:r w:rsidRPr="005E4992">
        <w:rPr>
          <w:lang w:val="en-GB"/>
        </w:rPr>
        <w:t>) and open, inclusive hybrid teaching.</w:t>
      </w:r>
    </w:p>
    <w:p w14:paraId="6FA70AE4" w14:textId="77777777" w:rsidR="00F011A8" w:rsidRPr="005E4992" w:rsidRDefault="00F011A8" w:rsidP="00F011A8">
      <w:pPr>
        <w:pStyle w:val="ListParagraph"/>
        <w:numPr>
          <w:ilvl w:val="0"/>
          <w:numId w:val="23"/>
        </w:numPr>
        <w:rPr>
          <w:lang w:val="en-GB"/>
        </w:rPr>
      </w:pPr>
      <w:r w:rsidRPr="005E4992">
        <w:rPr>
          <w:lang w:val="en-GB"/>
        </w:rPr>
        <w:lastRenderedPageBreak/>
        <w:t xml:space="preserve">Integrate Lifecycle Analysis (LCA) and </w:t>
      </w:r>
      <w:proofErr w:type="spellStart"/>
      <w:r w:rsidRPr="005E4992">
        <w:rPr>
          <w:lang w:val="en-GB"/>
        </w:rPr>
        <w:t>GreenComp</w:t>
      </w:r>
      <w:proofErr w:type="spellEnd"/>
      <w:r w:rsidRPr="005E4992">
        <w:rPr>
          <w:lang w:val="en-GB"/>
        </w:rPr>
        <w:t xml:space="preserve"> principles into every technical discipline.</w:t>
      </w:r>
    </w:p>
    <w:p w14:paraId="7659B161" w14:textId="77777777" w:rsidR="00F011A8" w:rsidRDefault="00F011A8" w:rsidP="00F011A8">
      <w:pPr>
        <w:pStyle w:val="ListParagraph"/>
        <w:numPr>
          <w:ilvl w:val="0"/>
          <w:numId w:val="23"/>
        </w:numPr>
        <w:rPr>
          <w:lang w:val="en-GB"/>
        </w:rPr>
      </w:pPr>
      <w:r w:rsidRPr="005E4992">
        <w:rPr>
          <w:lang w:val="en-GB"/>
        </w:rPr>
        <w:t>Implementation will align with the Council Recommendation on VET (2020), European Skills Agenda (2025), Digital Education Action Plan (2021-2027), and the Herning Declaration (2025) on responsible AI in education.</w:t>
      </w:r>
    </w:p>
    <w:p w14:paraId="0B34BFFC" w14:textId="77777777" w:rsidR="002C6417" w:rsidRPr="005E4992" w:rsidRDefault="002C6417" w:rsidP="002C6417">
      <w:pPr>
        <w:pStyle w:val="ListParagraph"/>
        <w:rPr>
          <w:lang w:val="en-GB"/>
        </w:rPr>
      </w:pPr>
    </w:p>
    <w:p w14:paraId="6C8470E4" w14:textId="77777777" w:rsidR="00F011A8" w:rsidRPr="005E4992" w:rsidRDefault="00F011A8" w:rsidP="00F011A8">
      <w:pPr>
        <w:pStyle w:val="Heading2"/>
        <w:rPr>
          <w:lang w:val="en-GB"/>
        </w:rPr>
      </w:pPr>
      <w:r w:rsidRPr="005E4992">
        <w:rPr>
          <w:lang w:val="en-GB"/>
        </w:rPr>
        <w:t>2. Strategic Context and Rationale</w:t>
      </w:r>
    </w:p>
    <w:p w14:paraId="6141960C" w14:textId="3BBD697B" w:rsidR="002E0809" w:rsidRPr="005E4992" w:rsidRDefault="002E0809" w:rsidP="002E0809">
      <w:pPr>
        <w:pStyle w:val="Heading3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2.1. The Twin Transition Imperative</w:t>
      </w:r>
    </w:p>
    <w:p w14:paraId="47D00383" w14:textId="1CD29056" w:rsidR="002E0809" w:rsidRPr="005E4992" w:rsidRDefault="002E0809" w:rsidP="002E0809">
      <w:pPr>
        <w:spacing w:before="240"/>
        <w:jc w:val="both"/>
        <w:rPr>
          <w:lang w:val="en-GB"/>
        </w:rPr>
      </w:pPr>
      <w:r w:rsidRPr="002E0809">
        <w:rPr>
          <w:lang w:val="en-GB"/>
        </w:rPr>
        <w:t>The EU’s 2023 Industrial Strategy and Green Deal Industrial Plan identify the twin transition</w:t>
      </w:r>
      <w:r w:rsidRPr="005E4992">
        <w:rPr>
          <w:lang w:val="en-GB"/>
        </w:rPr>
        <w:t xml:space="preserve">, </w:t>
      </w:r>
      <w:r w:rsidRPr="002E0809">
        <w:rPr>
          <w:lang w:val="en-GB"/>
        </w:rPr>
        <w:t>digitalisation and decarbonisation</w:t>
      </w:r>
      <w:r w:rsidRPr="005E4992">
        <w:rPr>
          <w:lang w:val="en-GB"/>
        </w:rPr>
        <w:t xml:space="preserve">, </w:t>
      </w:r>
      <w:r w:rsidRPr="002E0809">
        <w:rPr>
          <w:lang w:val="en-GB"/>
        </w:rPr>
        <w:t xml:space="preserve">as the cornerstone of sustainable growth. </w:t>
      </w:r>
      <w:r w:rsidR="00F011A8" w:rsidRPr="005E4992">
        <w:rPr>
          <w:lang w:val="en-GB"/>
        </w:rPr>
        <w:t>These shifts demand a workforce fluent in both environmental sustainability and emerging technologies.</w:t>
      </w:r>
    </w:p>
    <w:p w14:paraId="027DC5F8" w14:textId="3A4E6CF8" w:rsidR="00F011A8" w:rsidRPr="005E4992" w:rsidRDefault="00F011A8" w:rsidP="002E0809">
      <w:pPr>
        <w:jc w:val="both"/>
        <w:rPr>
          <w:lang w:val="en-GB"/>
        </w:rPr>
      </w:pPr>
      <w:r w:rsidRPr="005E4992">
        <w:rPr>
          <w:lang w:val="en-GB"/>
        </w:rPr>
        <w:t xml:space="preserve">Predictive Maintenance, powered by AI and data analytics, epitomizes this convergence: it reduces energy use and waste while improving reliability. </w:t>
      </w:r>
    </w:p>
    <w:p w14:paraId="30CBD8DA" w14:textId="77777777" w:rsidR="002E0809" w:rsidRPr="005E4992" w:rsidRDefault="002E0809" w:rsidP="002E0809">
      <w:pPr>
        <w:pStyle w:val="Heading3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2.2. Gaps in Current VET Provision</w:t>
      </w:r>
    </w:p>
    <w:p w14:paraId="174AFD56" w14:textId="2D778F19" w:rsidR="002E0809" w:rsidRPr="002E0809" w:rsidRDefault="00F11660" w:rsidP="002E0809">
      <w:pPr>
        <w:spacing w:before="240"/>
        <w:jc w:val="both"/>
        <w:rPr>
          <w:lang w:val="en-GB"/>
        </w:rPr>
      </w:pPr>
      <w:r w:rsidRPr="005E4992">
        <w:rPr>
          <w:lang w:val="en-GB"/>
        </w:rPr>
        <w:t xml:space="preserve">According to </w:t>
      </w:r>
      <w:r w:rsidRPr="005E4992">
        <w:rPr>
          <w:rStyle w:val="Strong"/>
          <w:lang w:val="en-GB"/>
        </w:rPr>
        <w:t>CEDEFOP (2024)</w:t>
      </w:r>
      <w:r w:rsidRPr="005E4992">
        <w:rPr>
          <w:lang w:val="en-GB"/>
        </w:rPr>
        <w:t>, 39 % of European SMEs cannot recruit staff with predictive-maintenance or AI competences. Only one-third of VET providers offer digital-twin or machine-learning modules, creating a structural gap between training supply and labour-market demand.</w:t>
      </w:r>
    </w:p>
    <w:p w14:paraId="4008060C" w14:textId="77777777" w:rsidR="00F11660" w:rsidRPr="005E4992" w:rsidRDefault="002E0809" w:rsidP="00F11660">
      <w:pPr>
        <w:pStyle w:val="Heading3"/>
        <w:rPr>
          <w:lang w:val="en-GB"/>
        </w:rPr>
      </w:pPr>
      <w:r w:rsidRPr="005E4992">
        <w:rPr>
          <w:lang w:val="en-GB"/>
        </w:rPr>
        <w:t xml:space="preserve">2.3. </w:t>
      </w:r>
      <w:r w:rsidR="00F11660" w:rsidRPr="005E4992">
        <w:rPr>
          <w:lang w:val="en-GB"/>
        </w:rPr>
        <w:t>Policy Framework Alignment</w:t>
      </w:r>
    </w:p>
    <w:p w14:paraId="2C558581" w14:textId="4CFA7930" w:rsidR="002E0809" w:rsidRPr="005E4992" w:rsidRDefault="002E0809" w:rsidP="00F11660">
      <w:pPr>
        <w:pStyle w:val="NoSpacing"/>
        <w:rPr>
          <w:lang w:val="en-GB"/>
        </w:rPr>
      </w:pPr>
      <w:r w:rsidRPr="005E4992">
        <w:rPr>
          <w:lang w:val="en-GB"/>
        </w:rPr>
        <w:t>This recommendation builds on:</w:t>
      </w:r>
    </w:p>
    <w:p w14:paraId="67EF7596" w14:textId="4F649A53" w:rsidR="002E0809" w:rsidRPr="005E4992" w:rsidRDefault="002E0809" w:rsidP="00986DAC">
      <w:pPr>
        <w:pStyle w:val="ListParagraph"/>
        <w:numPr>
          <w:ilvl w:val="0"/>
          <w:numId w:val="16"/>
        </w:numPr>
        <w:spacing w:before="240"/>
        <w:jc w:val="both"/>
        <w:rPr>
          <w:lang w:val="en-GB"/>
        </w:rPr>
      </w:pPr>
      <w:r w:rsidRPr="005E4992">
        <w:rPr>
          <w:lang w:val="en-GB"/>
        </w:rPr>
        <w:t>Council Recommendation on VET (2020/C 417/01)</w:t>
      </w:r>
      <w:r w:rsidR="00986DAC" w:rsidRPr="005E4992">
        <w:rPr>
          <w:lang w:val="en-GB"/>
        </w:rPr>
        <w:t xml:space="preserve">, </w:t>
      </w:r>
      <w:r w:rsidRPr="005E4992">
        <w:rPr>
          <w:lang w:val="en-GB"/>
        </w:rPr>
        <w:t>calling for agile, labour-responsive systems and Centres of Vocational Excellence (</w:t>
      </w:r>
      <w:proofErr w:type="spellStart"/>
      <w:r w:rsidRPr="005E4992">
        <w:rPr>
          <w:lang w:val="en-GB"/>
        </w:rPr>
        <w:t>CoVEs</w:t>
      </w:r>
      <w:proofErr w:type="spellEnd"/>
      <w:r w:rsidRPr="005E4992">
        <w:rPr>
          <w:lang w:val="en-GB"/>
        </w:rPr>
        <w:t>).</w:t>
      </w:r>
    </w:p>
    <w:p w14:paraId="39640907" w14:textId="77777777" w:rsidR="00986DAC" w:rsidRPr="005E4992" w:rsidRDefault="00986DAC" w:rsidP="00986DAC">
      <w:pPr>
        <w:pStyle w:val="ListParagraph"/>
        <w:spacing w:before="240"/>
        <w:jc w:val="both"/>
        <w:rPr>
          <w:lang w:val="en-GB"/>
        </w:rPr>
      </w:pPr>
    </w:p>
    <w:p w14:paraId="687EDF85" w14:textId="39EDD77C" w:rsidR="002E0809" w:rsidRPr="005E4992" w:rsidRDefault="002E0809" w:rsidP="00986DAC">
      <w:pPr>
        <w:pStyle w:val="ListParagraph"/>
        <w:numPr>
          <w:ilvl w:val="0"/>
          <w:numId w:val="16"/>
        </w:numPr>
        <w:spacing w:before="240"/>
        <w:jc w:val="both"/>
        <w:rPr>
          <w:lang w:val="en-GB"/>
        </w:rPr>
      </w:pPr>
      <w:r w:rsidRPr="005E4992">
        <w:rPr>
          <w:lang w:val="en-GB"/>
        </w:rPr>
        <w:t>European Skills Agenda (2020-2025)</w:t>
      </w:r>
      <w:r w:rsidR="00986DAC" w:rsidRPr="005E4992">
        <w:rPr>
          <w:lang w:val="en-GB"/>
        </w:rPr>
        <w:t xml:space="preserve">, </w:t>
      </w:r>
      <w:r w:rsidRPr="005E4992">
        <w:rPr>
          <w:lang w:val="en-GB"/>
        </w:rPr>
        <w:t>promoting the Pact for Skills and micro-credential frameworks.</w:t>
      </w:r>
    </w:p>
    <w:p w14:paraId="1CCA6AD3" w14:textId="77777777" w:rsidR="00986DAC" w:rsidRPr="005E4992" w:rsidRDefault="00986DAC" w:rsidP="00986DAC">
      <w:pPr>
        <w:pStyle w:val="ListParagraph"/>
        <w:spacing w:before="240"/>
        <w:jc w:val="both"/>
        <w:rPr>
          <w:lang w:val="en-GB"/>
        </w:rPr>
      </w:pPr>
    </w:p>
    <w:p w14:paraId="6651DDF6" w14:textId="31B6A740" w:rsidR="002E0809" w:rsidRPr="005E4992" w:rsidRDefault="002E0809" w:rsidP="00986DAC">
      <w:pPr>
        <w:pStyle w:val="ListParagraph"/>
        <w:numPr>
          <w:ilvl w:val="0"/>
          <w:numId w:val="16"/>
        </w:numPr>
        <w:spacing w:before="240"/>
        <w:jc w:val="both"/>
        <w:rPr>
          <w:lang w:val="en-GB"/>
        </w:rPr>
      </w:pPr>
      <w:r w:rsidRPr="005E4992">
        <w:rPr>
          <w:lang w:val="en-GB"/>
        </w:rPr>
        <w:t>Digital Education Action Plan (2021-2027)</w:t>
      </w:r>
      <w:r w:rsidR="00986DAC" w:rsidRPr="005E4992">
        <w:rPr>
          <w:lang w:val="en-GB"/>
        </w:rPr>
        <w:t>,</w:t>
      </w:r>
      <w:r w:rsidRPr="005E4992">
        <w:rPr>
          <w:lang w:val="en-GB"/>
        </w:rPr>
        <w:t xml:space="preserve"> prioritising digital pedagogy and equity in learning access.</w:t>
      </w:r>
    </w:p>
    <w:p w14:paraId="06B0B1C5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01111073" w14:textId="77777777" w:rsidR="00986DAC" w:rsidRPr="005E4992" w:rsidRDefault="00986DAC" w:rsidP="00986DAC">
      <w:pPr>
        <w:pStyle w:val="ListParagraph"/>
        <w:spacing w:before="240"/>
        <w:jc w:val="both"/>
        <w:rPr>
          <w:lang w:val="en-GB"/>
        </w:rPr>
      </w:pPr>
    </w:p>
    <w:p w14:paraId="6DBD0EBD" w14:textId="14C80B15" w:rsidR="002E0809" w:rsidRPr="005E4992" w:rsidRDefault="002E0809" w:rsidP="00986DAC">
      <w:pPr>
        <w:pStyle w:val="ListParagraph"/>
        <w:numPr>
          <w:ilvl w:val="0"/>
          <w:numId w:val="16"/>
        </w:numPr>
        <w:spacing w:before="240"/>
        <w:jc w:val="both"/>
        <w:rPr>
          <w:lang w:val="en-GB"/>
        </w:rPr>
      </w:pPr>
      <w:r w:rsidRPr="005E4992">
        <w:rPr>
          <w:lang w:val="en-GB"/>
        </w:rPr>
        <w:t>Herning Declaration (2025)</w:t>
      </w:r>
      <w:r w:rsidR="00986DAC" w:rsidRPr="005E4992">
        <w:rPr>
          <w:lang w:val="en-GB"/>
        </w:rPr>
        <w:t xml:space="preserve">, </w:t>
      </w:r>
      <w:r w:rsidRPr="005E4992">
        <w:rPr>
          <w:lang w:val="en-GB"/>
        </w:rPr>
        <w:t>reaffirming responsible AI integration and labour-market relevance of VET.</w:t>
      </w:r>
    </w:p>
    <w:p w14:paraId="4A481647" w14:textId="77777777" w:rsidR="002E0809" w:rsidRPr="005E4992" w:rsidRDefault="002E0809" w:rsidP="00986DAC">
      <w:pPr>
        <w:pStyle w:val="Heading2"/>
        <w:rPr>
          <w:lang w:val="en-GB"/>
        </w:rPr>
      </w:pPr>
      <w:r w:rsidRPr="005E4992">
        <w:rPr>
          <w:lang w:val="en-GB"/>
        </w:rPr>
        <w:lastRenderedPageBreak/>
        <w:t>3. Policy Objectives</w:t>
      </w:r>
    </w:p>
    <w:p w14:paraId="4A8B6BF9" w14:textId="77777777" w:rsidR="002E0809" w:rsidRPr="005E4992" w:rsidRDefault="002E0809" w:rsidP="00986DAC">
      <w:pPr>
        <w:rPr>
          <w:lang w:val="en-GB"/>
        </w:rPr>
      </w:pPr>
      <w:r w:rsidRPr="005E4992">
        <w:rPr>
          <w:lang w:val="en-GB"/>
        </w:rPr>
        <w:t>The overarching objective is to ensure that VET systems anticipate, not follow, labour market shifts.</w:t>
      </w:r>
      <w:r w:rsidRPr="005E4992">
        <w:rPr>
          <w:lang w:val="en-GB"/>
        </w:rPr>
        <w:br/>
        <w:t>Specific goals:</w:t>
      </w:r>
    </w:p>
    <w:p w14:paraId="61BA028D" w14:textId="77777777" w:rsidR="002E0809" w:rsidRPr="005E4992" w:rsidRDefault="002E0809" w:rsidP="00986DAC">
      <w:pPr>
        <w:pStyle w:val="ListParagraph"/>
        <w:numPr>
          <w:ilvl w:val="0"/>
          <w:numId w:val="17"/>
        </w:numPr>
        <w:rPr>
          <w:lang w:val="en-GB"/>
        </w:rPr>
      </w:pPr>
      <w:r w:rsidRPr="005E4992">
        <w:rPr>
          <w:lang w:val="en-GB"/>
        </w:rPr>
        <w:t>Embed Predictive Maintenance, AI, and ML competences within all EQF-aligned industrial VET programmes.</w:t>
      </w:r>
    </w:p>
    <w:p w14:paraId="277B9E23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3800C5EC" w14:textId="77777777" w:rsidR="002E0809" w:rsidRDefault="002E0809" w:rsidP="00986DAC">
      <w:pPr>
        <w:pStyle w:val="ListParagraph"/>
        <w:numPr>
          <w:ilvl w:val="0"/>
          <w:numId w:val="17"/>
        </w:numPr>
        <w:rPr>
          <w:lang w:val="en-GB"/>
        </w:rPr>
      </w:pPr>
      <w:r w:rsidRPr="005E4992">
        <w:rPr>
          <w:lang w:val="en-GB"/>
        </w:rPr>
        <w:t>Establish Teaching Factories and WBL ecosystems that replicate real industrial workflows.</w:t>
      </w:r>
    </w:p>
    <w:p w14:paraId="654AA4A2" w14:textId="77777777" w:rsidR="0023249B" w:rsidRPr="0023249B" w:rsidRDefault="0023249B" w:rsidP="0023249B">
      <w:pPr>
        <w:pStyle w:val="ListParagraph"/>
        <w:rPr>
          <w:lang w:val="en-GB"/>
        </w:rPr>
      </w:pPr>
    </w:p>
    <w:p w14:paraId="10B5BB64" w14:textId="77777777" w:rsidR="002E0809" w:rsidRPr="005E4992" w:rsidRDefault="002E0809" w:rsidP="00986DAC">
      <w:pPr>
        <w:pStyle w:val="ListParagraph"/>
        <w:numPr>
          <w:ilvl w:val="0"/>
          <w:numId w:val="17"/>
        </w:numPr>
        <w:rPr>
          <w:lang w:val="en-GB"/>
        </w:rPr>
      </w:pPr>
      <w:r w:rsidRPr="005E4992">
        <w:rPr>
          <w:lang w:val="en-GB"/>
        </w:rPr>
        <w:t>Develop modular, stackable micro-credentials for flexibility and recognition across borders.</w:t>
      </w:r>
    </w:p>
    <w:p w14:paraId="79613F92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3C1F8634" w14:textId="26C61F18" w:rsidR="00986DAC" w:rsidRDefault="002E0809" w:rsidP="0023249B">
      <w:pPr>
        <w:pStyle w:val="ListParagraph"/>
        <w:numPr>
          <w:ilvl w:val="0"/>
          <w:numId w:val="17"/>
        </w:numPr>
        <w:rPr>
          <w:lang w:val="en-GB"/>
        </w:rPr>
      </w:pPr>
      <w:r w:rsidRPr="005E4992">
        <w:rPr>
          <w:lang w:val="en-GB"/>
        </w:rPr>
        <w:t>Strengthen trainer capacity through digital pedagogy certification (</w:t>
      </w:r>
      <w:proofErr w:type="spellStart"/>
      <w:r w:rsidRPr="005E4992">
        <w:rPr>
          <w:lang w:val="en-GB"/>
        </w:rPr>
        <w:t>DigCompEdu</w:t>
      </w:r>
      <w:proofErr w:type="spellEnd"/>
      <w:r w:rsidRPr="005E4992">
        <w:rPr>
          <w:lang w:val="en-GB"/>
        </w:rPr>
        <w:t>) and open-resource sharing.</w:t>
      </w:r>
    </w:p>
    <w:p w14:paraId="2B7AD723" w14:textId="77777777" w:rsidR="0023249B" w:rsidRPr="0023249B" w:rsidRDefault="0023249B" w:rsidP="0023249B">
      <w:pPr>
        <w:pStyle w:val="ListParagraph"/>
        <w:rPr>
          <w:lang w:val="en-GB"/>
        </w:rPr>
      </w:pPr>
    </w:p>
    <w:p w14:paraId="5DE7C289" w14:textId="77777777" w:rsidR="002E0809" w:rsidRPr="005E4992" w:rsidRDefault="002E0809" w:rsidP="00986DAC">
      <w:pPr>
        <w:pStyle w:val="ListParagraph"/>
        <w:numPr>
          <w:ilvl w:val="0"/>
          <w:numId w:val="17"/>
        </w:numPr>
        <w:rPr>
          <w:lang w:val="en-GB"/>
        </w:rPr>
      </w:pPr>
      <w:r w:rsidRPr="005E4992">
        <w:rPr>
          <w:lang w:val="en-GB"/>
        </w:rPr>
        <w:t>Integrate environmental performance and Lifecycle Assessment (LCA) metrics into curricula.</w:t>
      </w:r>
    </w:p>
    <w:p w14:paraId="35285C1C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1F1EDAC9" w14:textId="77777777" w:rsidR="002E0809" w:rsidRPr="005E4992" w:rsidRDefault="002E0809" w:rsidP="00986DAC">
      <w:pPr>
        <w:pStyle w:val="ListParagraph"/>
        <w:numPr>
          <w:ilvl w:val="0"/>
          <w:numId w:val="17"/>
        </w:numPr>
        <w:rPr>
          <w:lang w:val="en-GB"/>
        </w:rPr>
      </w:pPr>
      <w:r w:rsidRPr="005E4992">
        <w:rPr>
          <w:lang w:val="en-GB"/>
        </w:rPr>
        <w:t>Ensure equitable access via inclusive, hybrid learning models.</w:t>
      </w:r>
    </w:p>
    <w:p w14:paraId="7DBC22C3" w14:textId="68627589" w:rsidR="002E0809" w:rsidRPr="002E0809" w:rsidRDefault="002E0809" w:rsidP="002E08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58E9990" w14:textId="77777777" w:rsidR="002E0809" w:rsidRPr="005E4992" w:rsidRDefault="002E0809" w:rsidP="00986DAC">
      <w:pPr>
        <w:pStyle w:val="Heading2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4. Policy Actions for Trainees – Future-Proof Competences</w:t>
      </w:r>
    </w:p>
    <w:p w14:paraId="3AA5F391" w14:textId="406EFA47" w:rsidR="002E0809" w:rsidRPr="005E4992" w:rsidRDefault="002E0809" w:rsidP="00986DAC">
      <w:pPr>
        <w:pStyle w:val="Heading3"/>
        <w:rPr>
          <w:lang w:val="en-GB"/>
        </w:rPr>
      </w:pPr>
      <w:r w:rsidRPr="005E4992">
        <w:rPr>
          <w:rFonts w:eastAsia="Times New Roman"/>
          <w:lang w:val="en-GB"/>
        </w:rPr>
        <w:t xml:space="preserve">4.1. </w:t>
      </w:r>
      <w:r w:rsidR="00CF1159" w:rsidRPr="005E4992">
        <w:rPr>
          <w:lang w:val="en-GB"/>
        </w:rPr>
        <w:t>Integrate Predictive Maintenance and Deep-Tech Competences</w:t>
      </w:r>
    </w:p>
    <w:p w14:paraId="07A20FEA" w14:textId="77777777" w:rsidR="00986DAC" w:rsidRPr="005E4992" w:rsidRDefault="002E0809" w:rsidP="0023249B">
      <w:pPr>
        <w:spacing w:before="100" w:beforeAutospacing="1" w:after="100" w:afterAutospacing="1" w:line="240" w:lineRule="auto"/>
        <w:jc w:val="both"/>
        <w:rPr>
          <w:lang w:val="en-GB"/>
        </w:rPr>
      </w:pPr>
      <w:r w:rsidRPr="002E0809">
        <w:rPr>
          <w:lang w:val="en-GB"/>
        </w:rPr>
        <w:t>VET learners must gain hands-on experience in predictive technologies applied to manufacturing, energy, and mobility sectors.</w:t>
      </w:r>
    </w:p>
    <w:p w14:paraId="0B7DDBBE" w14:textId="4E3FFB8C" w:rsidR="002E0809" w:rsidRPr="002E0809" w:rsidRDefault="002E0809" w:rsidP="002E0809">
      <w:pPr>
        <w:spacing w:before="100" w:beforeAutospacing="1" w:after="100" w:afterAutospacing="1" w:line="240" w:lineRule="auto"/>
        <w:rPr>
          <w:b/>
          <w:bCs/>
          <w:lang w:val="en-GB"/>
        </w:rPr>
      </w:pPr>
      <w:r w:rsidRPr="002E0809">
        <w:rPr>
          <w:lang w:val="en-GB"/>
        </w:rPr>
        <w:br/>
      </w:r>
      <w:r w:rsidRPr="002E0809">
        <w:rPr>
          <w:b/>
          <w:bCs/>
          <w:lang w:val="en-GB"/>
        </w:rPr>
        <w:t>Actions:</w:t>
      </w:r>
    </w:p>
    <w:p w14:paraId="7663C83C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5E4992">
        <w:rPr>
          <w:lang w:val="en-GB"/>
        </w:rPr>
        <w:t>Update national curricula to include AI-based anomaly detection, sensor data acquisition, and digital twin modelling.</w:t>
      </w:r>
    </w:p>
    <w:p w14:paraId="39B043BA" w14:textId="77777777" w:rsidR="00986DAC" w:rsidRPr="005E4992" w:rsidRDefault="00986DAC" w:rsidP="00986DAC">
      <w:pPr>
        <w:pStyle w:val="ListParagraph"/>
        <w:spacing w:before="100" w:beforeAutospacing="1" w:after="100" w:afterAutospacing="1" w:line="240" w:lineRule="auto"/>
        <w:rPr>
          <w:lang w:val="en-GB"/>
        </w:rPr>
      </w:pPr>
    </w:p>
    <w:p w14:paraId="6D05992F" w14:textId="77777777" w:rsidR="002E0809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5E4992">
        <w:rPr>
          <w:lang w:val="en-GB"/>
        </w:rPr>
        <w:t>Establish hybrid simulation labs and remote access to industrial data for training.</w:t>
      </w:r>
    </w:p>
    <w:p w14:paraId="4A9EAE12" w14:textId="77777777" w:rsidR="0023249B" w:rsidRPr="0023249B" w:rsidRDefault="0023249B" w:rsidP="0023249B">
      <w:pPr>
        <w:spacing w:before="100" w:beforeAutospacing="1" w:after="100" w:afterAutospacing="1" w:line="240" w:lineRule="auto"/>
        <w:rPr>
          <w:lang w:val="en-GB"/>
        </w:rPr>
      </w:pPr>
    </w:p>
    <w:p w14:paraId="0AD295CA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5E4992">
        <w:rPr>
          <w:lang w:val="en-GB"/>
        </w:rPr>
        <w:lastRenderedPageBreak/>
        <w:t>Co-design PM curricula with industry using EIT Manufacturing standards and ESCO occupational profiles.</w:t>
      </w:r>
    </w:p>
    <w:p w14:paraId="4BC927A5" w14:textId="77777777" w:rsidR="002E0809" w:rsidRPr="005E4992" w:rsidRDefault="002E0809" w:rsidP="00986DAC">
      <w:pPr>
        <w:pStyle w:val="Heading3"/>
        <w:rPr>
          <w:lang w:val="en-GB"/>
        </w:rPr>
      </w:pPr>
      <w:r w:rsidRPr="005E4992">
        <w:rPr>
          <w:lang w:val="en-GB"/>
        </w:rPr>
        <w:t>4.2. Embed Micro-Credentials for Flexibility</w:t>
      </w:r>
    </w:p>
    <w:p w14:paraId="7A0E3448" w14:textId="77777777" w:rsidR="00986DAC" w:rsidRPr="005E4992" w:rsidRDefault="002E0809" w:rsidP="00986DAC">
      <w:pPr>
        <w:rPr>
          <w:b/>
          <w:bCs/>
          <w:lang w:val="en-GB"/>
        </w:rPr>
      </w:pPr>
      <w:r w:rsidRPr="005E4992">
        <w:rPr>
          <w:lang w:val="en-GB"/>
        </w:rPr>
        <w:t>Traditional degrees cannot keep pace with technological change.</w:t>
      </w:r>
      <w:r w:rsidRPr="005E4992">
        <w:rPr>
          <w:lang w:val="en-GB"/>
        </w:rPr>
        <w:br/>
      </w:r>
    </w:p>
    <w:p w14:paraId="7F02C6CB" w14:textId="62CD53A1" w:rsidR="002E0809" w:rsidRPr="005E4992" w:rsidRDefault="002E0809" w:rsidP="00986DAC">
      <w:pPr>
        <w:rPr>
          <w:lang w:val="en-GB"/>
        </w:rPr>
      </w:pPr>
      <w:r w:rsidRPr="005E4992">
        <w:rPr>
          <w:b/>
          <w:bCs/>
          <w:lang w:val="en-GB"/>
        </w:rPr>
        <w:t>Actions:</w:t>
      </w:r>
    </w:p>
    <w:p w14:paraId="2891627E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2E0809">
        <w:rPr>
          <w:lang w:val="en-GB"/>
        </w:rPr>
        <w:t>Implement the European Council Recommendation on Micro-Credentials (2022/C 243/02).</w:t>
      </w:r>
    </w:p>
    <w:p w14:paraId="11751FB8" w14:textId="77777777" w:rsidR="00986DAC" w:rsidRPr="002E0809" w:rsidRDefault="00986DAC" w:rsidP="00986DAC">
      <w:pPr>
        <w:pStyle w:val="ListParagraph"/>
        <w:spacing w:before="100" w:beforeAutospacing="1" w:after="100" w:afterAutospacing="1" w:line="240" w:lineRule="auto"/>
        <w:rPr>
          <w:lang w:val="en-GB"/>
        </w:rPr>
      </w:pPr>
    </w:p>
    <w:p w14:paraId="6C7C4247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2E0809">
        <w:rPr>
          <w:lang w:val="en-GB"/>
        </w:rPr>
        <w:t>Introduce stackable units (e.g., “AI for PM,” “</w:t>
      </w:r>
      <w:proofErr w:type="spellStart"/>
      <w:r w:rsidRPr="002E0809">
        <w:rPr>
          <w:lang w:val="en-GB"/>
        </w:rPr>
        <w:t>Cobot</w:t>
      </w:r>
      <w:proofErr w:type="spellEnd"/>
      <w:r w:rsidRPr="002E0809">
        <w:rPr>
          <w:lang w:val="en-GB"/>
        </w:rPr>
        <w:t xml:space="preserve"> Safety,” “Green Maintenance Principles”) within EQF 4–6 frameworks.</w:t>
      </w:r>
    </w:p>
    <w:p w14:paraId="1EB00550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42B46C6A" w14:textId="77777777" w:rsidR="00986DAC" w:rsidRPr="002E0809" w:rsidRDefault="00986DAC" w:rsidP="00986DAC">
      <w:pPr>
        <w:pStyle w:val="ListParagraph"/>
        <w:spacing w:before="100" w:beforeAutospacing="1" w:after="100" w:afterAutospacing="1" w:line="240" w:lineRule="auto"/>
        <w:rPr>
          <w:lang w:val="en-GB"/>
        </w:rPr>
      </w:pPr>
    </w:p>
    <w:p w14:paraId="76079B12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2E0809">
        <w:rPr>
          <w:lang w:val="en-GB"/>
        </w:rPr>
        <w:t xml:space="preserve">Issue all micro-credentials via </w:t>
      </w:r>
      <w:proofErr w:type="spellStart"/>
      <w:r w:rsidRPr="002E0809">
        <w:rPr>
          <w:lang w:val="en-GB"/>
        </w:rPr>
        <w:t>Europass</w:t>
      </w:r>
      <w:proofErr w:type="spellEnd"/>
      <w:r w:rsidRPr="002E0809">
        <w:rPr>
          <w:lang w:val="en-GB"/>
        </w:rPr>
        <w:t xml:space="preserve"> Digital Credentials, ensuring authenticity and EU-wide portability.</w:t>
      </w:r>
    </w:p>
    <w:p w14:paraId="6B4CF45C" w14:textId="77777777" w:rsidR="00986DAC" w:rsidRPr="002E0809" w:rsidRDefault="00986DAC" w:rsidP="00986DAC">
      <w:pPr>
        <w:pStyle w:val="ListParagraph"/>
        <w:spacing w:before="100" w:beforeAutospacing="1" w:after="100" w:afterAutospacing="1" w:line="240" w:lineRule="auto"/>
        <w:rPr>
          <w:lang w:val="en-GB"/>
        </w:rPr>
      </w:pPr>
    </w:p>
    <w:p w14:paraId="1CD4F65B" w14:textId="77777777" w:rsidR="002E0809" w:rsidRPr="005E4992" w:rsidRDefault="002E0809" w:rsidP="00986DAC">
      <w:pPr>
        <w:pStyle w:val="Heading3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4.3. Integrate Collaborative Robotics and HMI Safety</w:t>
      </w:r>
    </w:p>
    <w:p w14:paraId="42DAF242" w14:textId="77777777" w:rsidR="00986DAC" w:rsidRPr="005E4992" w:rsidRDefault="002E0809" w:rsidP="00986DAC">
      <w:pPr>
        <w:rPr>
          <w:lang w:val="en-GB"/>
        </w:rPr>
      </w:pPr>
      <w:r w:rsidRPr="005E4992">
        <w:rPr>
          <w:lang w:val="en-GB"/>
        </w:rPr>
        <w:t>Factories of the future require safe human–machine collaboration.</w:t>
      </w:r>
    </w:p>
    <w:p w14:paraId="30FBBB6E" w14:textId="1831A02F" w:rsidR="002E0809" w:rsidRPr="005E4992" w:rsidRDefault="002E0809" w:rsidP="00986DAC">
      <w:pPr>
        <w:rPr>
          <w:lang w:val="en-GB"/>
        </w:rPr>
      </w:pPr>
      <w:r w:rsidRPr="005E4992">
        <w:rPr>
          <w:lang w:val="en-GB"/>
        </w:rPr>
        <w:br/>
      </w:r>
      <w:r w:rsidRPr="005E4992">
        <w:rPr>
          <w:b/>
          <w:bCs/>
          <w:lang w:val="en-GB"/>
        </w:rPr>
        <w:t>Actions</w:t>
      </w:r>
    </w:p>
    <w:p w14:paraId="4452318B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2E0809">
        <w:rPr>
          <w:lang w:val="en-GB"/>
        </w:rPr>
        <w:t>Train students under EU Machinery Regulation 2023/1230 and ISO/TS 15066 standards.</w:t>
      </w:r>
    </w:p>
    <w:p w14:paraId="749145E1" w14:textId="77777777" w:rsidR="00986DAC" w:rsidRPr="002E0809" w:rsidRDefault="00986DAC" w:rsidP="00986DAC">
      <w:pPr>
        <w:pStyle w:val="ListParagraph"/>
        <w:spacing w:before="100" w:beforeAutospacing="1" w:after="100" w:afterAutospacing="1" w:line="240" w:lineRule="auto"/>
        <w:rPr>
          <w:lang w:val="en-GB"/>
        </w:rPr>
      </w:pPr>
    </w:p>
    <w:p w14:paraId="20437F62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2E0809">
        <w:rPr>
          <w:lang w:val="en-GB"/>
        </w:rPr>
        <w:t xml:space="preserve">Use AR/VR simulations for </w:t>
      </w:r>
      <w:proofErr w:type="spellStart"/>
      <w:r w:rsidRPr="002E0809">
        <w:rPr>
          <w:lang w:val="en-GB"/>
        </w:rPr>
        <w:t>Cobot</w:t>
      </w:r>
      <w:proofErr w:type="spellEnd"/>
      <w:r w:rsidRPr="002E0809">
        <w:rPr>
          <w:lang w:val="en-GB"/>
        </w:rPr>
        <w:t xml:space="preserve"> risk analysis and HMI design, following CEN-CENELEC CWA 17835 safety protocols.</w:t>
      </w:r>
    </w:p>
    <w:p w14:paraId="26EFA9CA" w14:textId="77777777" w:rsidR="00986DAC" w:rsidRPr="005E4992" w:rsidRDefault="00986DAC" w:rsidP="00986DAC">
      <w:pPr>
        <w:spacing w:before="100" w:beforeAutospacing="1" w:after="100" w:afterAutospacing="1" w:line="240" w:lineRule="auto"/>
        <w:rPr>
          <w:lang w:val="en-GB"/>
        </w:rPr>
      </w:pPr>
    </w:p>
    <w:p w14:paraId="587A9CEE" w14:textId="77777777" w:rsidR="002E0809" w:rsidRPr="005E4992" w:rsidRDefault="002E0809" w:rsidP="00986DAC">
      <w:pPr>
        <w:pStyle w:val="Heading3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4.4. Link Deep-Tech Learning to Sustainability Outcomes</w:t>
      </w:r>
    </w:p>
    <w:p w14:paraId="263F36B5" w14:textId="41F865BF" w:rsidR="00CF1159" w:rsidRPr="005E4992" w:rsidRDefault="00CF1159" w:rsidP="00CF1159">
      <w:pPr>
        <w:rPr>
          <w:lang w:val="en-GB"/>
        </w:rPr>
      </w:pPr>
      <w:r w:rsidRPr="005E4992">
        <w:rPr>
          <w:lang w:val="en-GB"/>
        </w:rPr>
        <w:t>Learners should demonstrate measurable reductions in energy or material use through project work.</w:t>
      </w:r>
    </w:p>
    <w:p w14:paraId="72E3377E" w14:textId="77777777" w:rsidR="002E0809" w:rsidRPr="002E0809" w:rsidRDefault="002E0809" w:rsidP="002E0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Actions:</w:t>
      </w:r>
    </w:p>
    <w:p w14:paraId="11D4BF3B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2E0809">
        <w:rPr>
          <w:lang w:val="en-GB"/>
        </w:rPr>
        <w:t>Introduce Lifecycle Assessment (LCA) as a transversal skill.</w:t>
      </w:r>
    </w:p>
    <w:p w14:paraId="05AFBF57" w14:textId="77777777" w:rsidR="00986DAC" w:rsidRPr="002E0809" w:rsidRDefault="00986DAC" w:rsidP="00986DAC">
      <w:pPr>
        <w:pStyle w:val="ListParagraph"/>
        <w:spacing w:before="100" w:beforeAutospacing="1" w:after="100" w:afterAutospacing="1" w:line="240" w:lineRule="auto"/>
        <w:rPr>
          <w:lang w:val="en-GB"/>
        </w:rPr>
      </w:pPr>
    </w:p>
    <w:p w14:paraId="29B907FC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2E0809">
        <w:rPr>
          <w:lang w:val="en-GB"/>
        </w:rPr>
        <w:t xml:space="preserve">Apply </w:t>
      </w:r>
      <w:proofErr w:type="spellStart"/>
      <w:r w:rsidRPr="002E0809">
        <w:rPr>
          <w:lang w:val="en-GB"/>
        </w:rPr>
        <w:t>GreenComp</w:t>
      </w:r>
      <w:proofErr w:type="spellEnd"/>
      <w:r w:rsidRPr="002E0809">
        <w:rPr>
          <w:lang w:val="en-GB"/>
        </w:rPr>
        <w:t xml:space="preserve"> to evaluate trainees’ ability to act for sustainability.</w:t>
      </w:r>
    </w:p>
    <w:p w14:paraId="7CED9D81" w14:textId="77777777" w:rsidR="00986DAC" w:rsidRPr="002E0809" w:rsidRDefault="00986DAC" w:rsidP="00986DAC">
      <w:pPr>
        <w:pStyle w:val="ListParagraph"/>
        <w:spacing w:before="100" w:beforeAutospacing="1" w:after="100" w:afterAutospacing="1" w:line="240" w:lineRule="auto"/>
        <w:rPr>
          <w:lang w:val="en-GB"/>
        </w:rPr>
      </w:pPr>
    </w:p>
    <w:p w14:paraId="3A742850" w14:textId="77777777" w:rsidR="002E0809" w:rsidRPr="005E4992" w:rsidRDefault="002E0809" w:rsidP="00986DA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lang w:val="en-GB"/>
        </w:rPr>
      </w:pPr>
      <w:r w:rsidRPr="002E0809">
        <w:rPr>
          <w:lang w:val="en-GB"/>
        </w:rPr>
        <w:t>Track energy and CO₂ reduction metrics as part of PM project assessments.</w:t>
      </w:r>
    </w:p>
    <w:p w14:paraId="16EAFE53" w14:textId="77777777" w:rsidR="00CF1159" w:rsidRPr="005E4992" w:rsidRDefault="00CF1159" w:rsidP="00CF1159">
      <w:pPr>
        <w:pStyle w:val="ListParagraph"/>
        <w:rPr>
          <w:lang w:val="en-GB"/>
        </w:rPr>
      </w:pPr>
    </w:p>
    <w:p w14:paraId="46146171" w14:textId="77777777" w:rsidR="00CF1159" w:rsidRPr="002E0809" w:rsidRDefault="00CF1159" w:rsidP="00CF1159">
      <w:pPr>
        <w:pStyle w:val="ListParagraph"/>
        <w:spacing w:before="100" w:beforeAutospacing="1" w:after="100" w:afterAutospacing="1" w:line="240" w:lineRule="auto"/>
        <w:rPr>
          <w:lang w:val="en-GB"/>
        </w:rPr>
      </w:pPr>
    </w:p>
    <w:p w14:paraId="1F6FEFB7" w14:textId="77777777" w:rsidR="002E0809" w:rsidRPr="005E4992" w:rsidRDefault="002E0809" w:rsidP="00986DAC">
      <w:pPr>
        <w:pStyle w:val="Heading2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5. Policy Actions for Trainers – Empowering the Educators</w:t>
      </w:r>
    </w:p>
    <w:p w14:paraId="244C0D55" w14:textId="77777777" w:rsidR="002E0809" w:rsidRPr="005E4992" w:rsidRDefault="002E0809" w:rsidP="00986DAC">
      <w:pPr>
        <w:pStyle w:val="Heading3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5.1. Establish Hybrid Work-Based Learning Teaching Factories (WBLTF)</w:t>
      </w:r>
    </w:p>
    <w:p w14:paraId="474FC72F" w14:textId="77777777" w:rsidR="00986DAC" w:rsidRPr="005E4992" w:rsidRDefault="002E0809" w:rsidP="00986DAC">
      <w:pPr>
        <w:rPr>
          <w:lang w:val="en-GB"/>
        </w:rPr>
      </w:pPr>
      <w:r w:rsidRPr="005E4992">
        <w:rPr>
          <w:lang w:val="en-GB"/>
        </w:rPr>
        <w:t>WBLTFs connect schools with companies in real-time industrial problem-solving.</w:t>
      </w:r>
    </w:p>
    <w:p w14:paraId="14A84528" w14:textId="24901A5A" w:rsidR="002E0809" w:rsidRPr="005E4992" w:rsidRDefault="002E0809" w:rsidP="00986DAC">
      <w:pPr>
        <w:rPr>
          <w:lang w:val="en-GB"/>
        </w:rPr>
      </w:pPr>
      <w:r w:rsidRPr="005E4992">
        <w:rPr>
          <w:lang w:val="en-GB"/>
        </w:rPr>
        <w:br/>
      </w:r>
      <w:r w:rsidRPr="005E4992">
        <w:rPr>
          <w:b/>
          <w:bCs/>
          <w:lang w:val="en-GB"/>
        </w:rPr>
        <w:t>Actions:</w:t>
      </w:r>
    </w:p>
    <w:p w14:paraId="3AA9F540" w14:textId="2EB204A3" w:rsidR="00986DAC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5E4992">
        <w:rPr>
          <w:lang w:val="en-GB"/>
        </w:rPr>
        <w:t>Launch a European Teaching Factory Network (</w:t>
      </w:r>
      <w:proofErr w:type="spellStart"/>
      <w:r w:rsidRPr="005E4992">
        <w:rPr>
          <w:lang w:val="en-GB"/>
        </w:rPr>
        <w:t>ETFNet</w:t>
      </w:r>
      <w:proofErr w:type="spellEnd"/>
      <w:r w:rsidRPr="005E4992">
        <w:rPr>
          <w:lang w:val="en-GB"/>
        </w:rPr>
        <w:t xml:space="preserve">) under Erasmus+ </w:t>
      </w:r>
      <w:proofErr w:type="spellStart"/>
      <w:r w:rsidRPr="005E4992">
        <w:rPr>
          <w:lang w:val="en-GB"/>
        </w:rPr>
        <w:t>CoVEs</w:t>
      </w:r>
      <w:proofErr w:type="spellEnd"/>
      <w:r w:rsidRPr="005E4992">
        <w:rPr>
          <w:lang w:val="en-GB"/>
        </w:rPr>
        <w:t xml:space="preserve"> and EIT Manufacturing.</w:t>
      </w:r>
    </w:p>
    <w:p w14:paraId="799A8251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5C316489" w14:textId="50BA9138" w:rsidR="00986DAC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5E4992">
        <w:rPr>
          <w:lang w:val="en-GB"/>
        </w:rPr>
        <w:t>Ensure hybrid connectivity (digital twins, secure cloud data spaces).</w:t>
      </w:r>
    </w:p>
    <w:p w14:paraId="359DDF72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3F5E5D9B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5E4992">
        <w:rPr>
          <w:lang w:val="en-GB"/>
        </w:rPr>
        <w:t>Incentivise SMEs through vouchers or tax credits for hosting learners and sharing anonymised data.</w:t>
      </w:r>
    </w:p>
    <w:p w14:paraId="34E3F94C" w14:textId="77777777" w:rsidR="00986DAC" w:rsidRPr="002E0809" w:rsidRDefault="00986DAC" w:rsidP="00986DAC">
      <w:pPr>
        <w:pStyle w:val="ListParagraph"/>
        <w:spacing w:after="100" w:afterAutospacing="1" w:line="240" w:lineRule="auto"/>
        <w:rPr>
          <w:lang w:val="en-GB"/>
        </w:rPr>
      </w:pPr>
    </w:p>
    <w:p w14:paraId="2239CCE4" w14:textId="77777777" w:rsidR="002E0809" w:rsidRPr="005E4992" w:rsidRDefault="002E0809" w:rsidP="00986DAC">
      <w:pPr>
        <w:pStyle w:val="Heading3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5.2. Build Digital and Pedagogical Capacity</w:t>
      </w:r>
    </w:p>
    <w:p w14:paraId="65795E4F" w14:textId="1D697168" w:rsidR="00986DAC" w:rsidRPr="005E4992" w:rsidRDefault="00CF1159" w:rsidP="00CF1159">
      <w:pPr>
        <w:rPr>
          <w:lang w:val="en-GB"/>
        </w:rPr>
      </w:pPr>
      <w:r w:rsidRPr="005E4992">
        <w:rPr>
          <w:lang w:val="en-GB"/>
        </w:rPr>
        <w:t xml:space="preserve">Implement mandatory CPD based on </w:t>
      </w:r>
      <w:proofErr w:type="spellStart"/>
      <w:r w:rsidRPr="005E4992">
        <w:rPr>
          <w:lang w:val="en-GB"/>
        </w:rPr>
        <w:t>DigCompEdu</w:t>
      </w:r>
      <w:proofErr w:type="spellEnd"/>
      <w:r w:rsidRPr="005E4992">
        <w:rPr>
          <w:lang w:val="en-GB"/>
        </w:rPr>
        <w:t xml:space="preserve"> (2022) and Digital Education Action Plan standards.</w:t>
      </w:r>
    </w:p>
    <w:p w14:paraId="1E76088B" w14:textId="77777777" w:rsidR="002E0809" w:rsidRPr="002E0809" w:rsidRDefault="002E0809" w:rsidP="00986DAC">
      <w:pPr>
        <w:rPr>
          <w:b/>
          <w:bCs/>
          <w:lang w:val="en-GB"/>
        </w:rPr>
      </w:pPr>
      <w:r w:rsidRPr="002E0809">
        <w:rPr>
          <w:b/>
          <w:bCs/>
          <w:lang w:val="en-GB"/>
        </w:rPr>
        <w:t>Actions:</w:t>
      </w:r>
    </w:p>
    <w:p w14:paraId="31327B70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 xml:space="preserve">Require continuous professional development (CPD) aligned with </w:t>
      </w:r>
      <w:proofErr w:type="spellStart"/>
      <w:r w:rsidRPr="002E0809">
        <w:rPr>
          <w:lang w:val="en-GB"/>
        </w:rPr>
        <w:t>DigCompEdu</w:t>
      </w:r>
      <w:proofErr w:type="spellEnd"/>
      <w:r w:rsidRPr="002E0809">
        <w:rPr>
          <w:lang w:val="en-GB"/>
        </w:rPr>
        <w:t xml:space="preserve"> and Digital Education Action Plan standards.</w:t>
      </w:r>
    </w:p>
    <w:p w14:paraId="799C3E53" w14:textId="77777777" w:rsidR="00986DAC" w:rsidRPr="002E0809" w:rsidRDefault="00986DAC" w:rsidP="00986DAC">
      <w:pPr>
        <w:pStyle w:val="ListParagraph"/>
        <w:rPr>
          <w:lang w:val="en-GB"/>
        </w:rPr>
      </w:pPr>
    </w:p>
    <w:p w14:paraId="78B64157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>Introduce Train-the-Trainer academies focusing on managing hybrid learning, project-based pedagogy, and ethical AI use.</w:t>
      </w:r>
    </w:p>
    <w:p w14:paraId="529B8519" w14:textId="77777777" w:rsidR="00986DAC" w:rsidRPr="002E0809" w:rsidRDefault="00986DAC" w:rsidP="00986DAC">
      <w:pPr>
        <w:pStyle w:val="ListParagraph"/>
        <w:rPr>
          <w:lang w:val="en-GB"/>
        </w:rPr>
      </w:pPr>
    </w:p>
    <w:p w14:paraId="02F595A7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>Create certification schemes for “Master Trainers in Predictive Maintenance.”</w:t>
      </w:r>
    </w:p>
    <w:p w14:paraId="4DD7A2A2" w14:textId="77777777" w:rsidR="00986DAC" w:rsidRPr="005E4992" w:rsidRDefault="00986DAC" w:rsidP="00986DAC">
      <w:pPr>
        <w:rPr>
          <w:lang w:val="en-GB"/>
        </w:rPr>
      </w:pPr>
    </w:p>
    <w:p w14:paraId="227AE2A3" w14:textId="77777777" w:rsidR="002E0809" w:rsidRPr="005E4992" w:rsidRDefault="002E0809" w:rsidP="00986DAC">
      <w:pPr>
        <w:pStyle w:val="Heading3"/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lastRenderedPageBreak/>
        <w:t>5.3. Develop Open Educational Resources (OERs)</w:t>
      </w:r>
    </w:p>
    <w:p w14:paraId="5F555F2E" w14:textId="77777777" w:rsidR="002E0809" w:rsidRPr="002E0809" w:rsidRDefault="002E0809" w:rsidP="00986DAC">
      <w:pPr>
        <w:rPr>
          <w:b/>
          <w:bCs/>
          <w:lang w:val="en-GB"/>
        </w:rPr>
      </w:pPr>
      <w:r w:rsidRPr="002E0809">
        <w:rPr>
          <w:b/>
          <w:bCs/>
          <w:lang w:val="en-GB"/>
        </w:rPr>
        <w:t>Actions:</w:t>
      </w:r>
    </w:p>
    <w:p w14:paraId="693161FE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>Establish a Pan-EU OER Hub for PM and Deep Tech (funded via Horizon Europe or Digital Europe).</w:t>
      </w:r>
    </w:p>
    <w:p w14:paraId="0B22E76E" w14:textId="77777777" w:rsidR="00986DAC" w:rsidRPr="002E0809" w:rsidRDefault="00986DAC" w:rsidP="00986DAC">
      <w:pPr>
        <w:pStyle w:val="ListParagraph"/>
        <w:rPr>
          <w:lang w:val="en-GB"/>
        </w:rPr>
      </w:pPr>
    </w:p>
    <w:p w14:paraId="268937E6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>Publish materials under Creative Commons (CC BY) licences and ensure full accessibility compliance.</w:t>
      </w:r>
    </w:p>
    <w:p w14:paraId="11E686FC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2498B863" w14:textId="77777777" w:rsidR="00986DAC" w:rsidRPr="002E0809" w:rsidRDefault="00986DAC" w:rsidP="00986DAC">
      <w:pPr>
        <w:pStyle w:val="ListParagraph"/>
        <w:rPr>
          <w:lang w:val="en-GB"/>
        </w:rPr>
      </w:pPr>
    </w:p>
    <w:p w14:paraId="7932383C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>Encourage cross-translation and localisation by national VET agencies.</w:t>
      </w:r>
    </w:p>
    <w:p w14:paraId="4BA014CA" w14:textId="77777777" w:rsidR="00986DAC" w:rsidRPr="002E0809" w:rsidRDefault="00986DAC" w:rsidP="00986DAC">
      <w:pPr>
        <w:pStyle w:val="ListParagraph"/>
        <w:rPr>
          <w:lang w:val="en-GB"/>
        </w:rPr>
      </w:pPr>
    </w:p>
    <w:p w14:paraId="16A45328" w14:textId="77777777" w:rsidR="002E0809" w:rsidRPr="005E4992" w:rsidRDefault="002E0809" w:rsidP="00986DAC">
      <w:pPr>
        <w:pStyle w:val="Heading3"/>
        <w:rPr>
          <w:lang w:val="en-GB"/>
        </w:rPr>
      </w:pPr>
      <w:r w:rsidRPr="005E4992">
        <w:rPr>
          <w:lang w:val="en-GB"/>
        </w:rPr>
        <w:t>5.4. Ensure Inclusion and Dropout Prevention</w:t>
      </w:r>
    </w:p>
    <w:p w14:paraId="150B5FB2" w14:textId="77777777" w:rsidR="00986DAC" w:rsidRPr="005E4992" w:rsidRDefault="002E0809" w:rsidP="00986DAC">
      <w:pPr>
        <w:rPr>
          <w:lang w:val="en-GB"/>
        </w:rPr>
      </w:pPr>
      <w:r w:rsidRPr="005E4992">
        <w:rPr>
          <w:lang w:val="en-GB"/>
        </w:rPr>
        <w:t>Hybrid models must balance excellence with inclusion.</w:t>
      </w:r>
    </w:p>
    <w:p w14:paraId="3916D4A9" w14:textId="2B934BD6" w:rsidR="002E0809" w:rsidRPr="005E4992" w:rsidRDefault="002E0809" w:rsidP="00986DAC">
      <w:pPr>
        <w:rPr>
          <w:lang w:val="en-GB"/>
        </w:rPr>
      </w:pPr>
      <w:r w:rsidRPr="005E4992">
        <w:rPr>
          <w:b/>
          <w:bCs/>
          <w:lang w:val="en-GB"/>
        </w:rPr>
        <w:t>Actions:</w:t>
      </w:r>
    </w:p>
    <w:p w14:paraId="3BE93AE6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>Provide hardware grants and flexible scheduling for disadvantaged learners.</w:t>
      </w:r>
    </w:p>
    <w:p w14:paraId="1DBBF31B" w14:textId="77777777" w:rsidR="00986DAC" w:rsidRPr="002E0809" w:rsidRDefault="00986DAC" w:rsidP="00986DAC">
      <w:pPr>
        <w:pStyle w:val="ListParagraph"/>
        <w:rPr>
          <w:lang w:val="en-GB"/>
        </w:rPr>
      </w:pPr>
    </w:p>
    <w:p w14:paraId="7D856BC8" w14:textId="77777777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>Implement mentoring and virtual peer-support systems.</w:t>
      </w:r>
    </w:p>
    <w:p w14:paraId="58B8BF90" w14:textId="77777777" w:rsidR="00986DAC" w:rsidRPr="002E0809" w:rsidRDefault="00986DAC" w:rsidP="00986DAC">
      <w:pPr>
        <w:pStyle w:val="ListParagraph"/>
        <w:rPr>
          <w:lang w:val="en-GB"/>
        </w:rPr>
      </w:pPr>
    </w:p>
    <w:p w14:paraId="3E1A7C14" w14:textId="2C381ABD" w:rsidR="002E0809" w:rsidRPr="005E4992" w:rsidRDefault="002E0809" w:rsidP="00986DAC">
      <w:pPr>
        <w:pStyle w:val="ListParagraph"/>
        <w:numPr>
          <w:ilvl w:val="0"/>
          <w:numId w:val="19"/>
        </w:numPr>
        <w:rPr>
          <w:lang w:val="en-GB"/>
        </w:rPr>
      </w:pPr>
      <w:r w:rsidRPr="002E0809">
        <w:rPr>
          <w:lang w:val="en-GB"/>
        </w:rPr>
        <w:t xml:space="preserve">Expand hybrid WBL access for women, NEETs, and adult </w:t>
      </w:r>
      <w:proofErr w:type="spellStart"/>
      <w:r w:rsidRPr="002E0809">
        <w:rPr>
          <w:lang w:val="en-GB"/>
        </w:rPr>
        <w:t>reskillers</w:t>
      </w:r>
      <w:proofErr w:type="spellEnd"/>
      <w:r w:rsidRPr="002E0809">
        <w:rPr>
          <w:lang w:val="en-GB"/>
        </w:rPr>
        <w:t>.</w:t>
      </w:r>
    </w:p>
    <w:p w14:paraId="58144F75" w14:textId="77777777" w:rsidR="00986DAC" w:rsidRPr="005E4992" w:rsidRDefault="00986DAC" w:rsidP="00986DAC">
      <w:pPr>
        <w:pStyle w:val="ListParagraph"/>
        <w:rPr>
          <w:lang w:val="en-GB"/>
        </w:rPr>
      </w:pPr>
    </w:p>
    <w:p w14:paraId="1916EB07" w14:textId="0CBC6787" w:rsidR="002E0809" w:rsidRPr="005E4992" w:rsidRDefault="002E0809" w:rsidP="00CF1159">
      <w:pPr>
        <w:pStyle w:val="Heading2"/>
        <w:tabs>
          <w:tab w:val="left" w:pos="6219"/>
        </w:tabs>
        <w:rPr>
          <w:rFonts w:eastAsia="Times New Roman"/>
          <w:lang w:val="en-GB"/>
        </w:rPr>
      </w:pPr>
      <w:r w:rsidRPr="005E4992">
        <w:rPr>
          <w:rFonts w:eastAsia="Times New Roman"/>
          <w:lang w:val="en-GB"/>
        </w:rPr>
        <w:t>6. Systemic Measures and Governance</w:t>
      </w:r>
      <w:r w:rsidR="00CF1159" w:rsidRPr="005E4992">
        <w:rPr>
          <w:rFonts w:eastAsia="Times New Roman"/>
          <w:lang w:val="en-GB"/>
        </w:rPr>
        <w:tab/>
      </w:r>
    </w:p>
    <w:p w14:paraId="4B182CD7" w14:textId="3A44802D" w:rsidR="00CF1159" w:rsidRPr="005E4992" w:rsidRDefault="00CF1159" w:rsidP="005E4992">
      <w:pPr>
        <w:rPr>
          <w:lang w:val="en-GB"/>
        </w:rPr>
      </w:pPr>
      <w:r w:rsidRPr="005E4992">
        <w:rPr>
          <w:lang w:val="en-GB"/>
        </w:rPr>
        <w:t>A robust governance architecture ensures accountability and cross-border coherence:</w:t>
      </w:r>
    </w:p>
    <w:p w14:paraId="2455BA5F" w14:textId="766495DA" w:rsidR="002E0809" w:rsidRPr="005E4992" w:rsidRDefault="005E4992" w:rsidP="00A328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5E499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drawing>
          <wp:inline distT="0" distB="0" distL="0" distR="0" wp14:anchorId="6B6F55FE" wp14:editId="7B7FBF57">
            <wp:extent cx="3163330" cy="2317750"/>
            <wp:effectExtent l="0" t="0" r="0" b="6350"/>
            <wp:docPr id="7446951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7" cy="234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9A91" w14:textId="47FC98A9" w:rsidR="00A32817" w:rsidRPr="005E4992" w:rsidRDefault="002E0809" w:rsidP="00352257">
      <w:pPr>
        <w:pStyle w:val="Heading2"/>
        <w:rPr>
          <w:rFonts w:eastAsia="Times New Roman"/>
          <w:lang w:val="en-GB"/>
        </w:rPr>
      </w:pPr>
      <w:r w:rsidRPr="002E0809">
        <w:rPr>
          <w:rFonts w:eastAsia="Times New Roman"/>
          <w:lang w:val="en-GB"/>
        </w:rPr>
        <w:lastRenderedPageBreak/>
        <w:t>7. Implementation Roadmap (2025–2030)</w:t>
      </w:r>
    </w:p>
    <w:p w14:paraId="19AC63D9" w14:textId="77777777" w:rsidR="005E4992" w:rsidRDefault="005E4992" w:rsidP="005E4992">
      <w:pPr>
        <w:jc w:val="both"/>
        <w:rPr>
          <w:lang w:val="en-GB"/>
        </w:rPr>
      </w:pPr>
      <w:r w:rsidRPr="005E4992">
        <w:rPr>
          <w:lang w:val="en-GB"/>
        </w:rPr>
        <w:t>Successful labour-market orientation of VET programmes requires not only well-designed policies but also phased and coordinated implementation across all governance levels</w:t>
      </w:r>
      <w:r>
        <w:rPr>
          <w:lang w:val="en-GB"/>
        </w:rPr>
        <w:t>, European</w:t>
      </w:r>
      <w:r w:rsidRPr="005E4992">
        <w:rPr>
          <w:lang w:val="en-GB"/>
        </w:rPr>
        <w:t>, national, regional, and institutional.</w:t>
      </w:r>
    </w:p>
    <w:p w14:paraId="590D6FFF" w14:textId="057F2BF1" w:rsidR="005E4992" w:rsidRPr="005E4992" w:rsidRDefault="005E4992" w:rsidP="005E4992">
      <w:pPr>
        <w:jc w:val="both"/>
        <w:rPr>
          <w:lang w:val="en-GB"/>
        </w:rPr>
      </w:pPr>
      <w:r w:rsidRPr="005E4992">
        <w:rPr>
          <w:lang w:val="en-GB"/>
        </w:rPr>
        <w:t>The following roadmap provides a structured timeline for deploying the reforms outlined in this recommendation, ensuring measurable impact, accountability, and scalability.</w:t>
      </w:r>
    </w:p>
    <w:p w14:paraId="0E2489D7" w14:textId="7CB58B28" w:rsidR="00A32817" w:rsidRPr="005E4992" w:rsidRDefault="00A32817" w:rsidP="005E4992">
      <w:pPr>
        <w:rPr>
          <w:lang w:val="en-GB"/>
        </w:rPr>
      </w:pPr>
      <w:r w:rsidRPr="005E4992">
        <w:rPr>
          <w:noProof/>
          <w:lang w:val="en-GB"/>
        </w:rPr>
        <w:drawing>
          <wp:inline distT="0" distB="0" distL="0" distR="0" wp14:anchorId="3CC67A54" wp14:editId="451C8DCF">
            <wp:extent cx="6283280" cy="2501900"/>
            <wp:effectExtent l="0" t="0" r="3810" b="0"/>
            <wp:docPr id="20176067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652" cy="250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FFE60" w14:textId="7B35568C" w:rsidR="002E0809" w:rsidRPr="005E4992" w:rsidRDefault="002E0809" w:rsidP="002E08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E9E93F3" w14:textId="77777777" w:rsidR="002E0809" w:rsidRDefault="002E0809" w:rsidP="00352257">
      <w:pPr>
        <w:pStyle w:val="Heading2"/>
        <w:rPr>
          <w:rFonts w:eastAsia="Times New Roman"/>
          <w:lang w:val="en-GB"/>
        </w:rPr>
      </w:pPr>
      <w:r w:rsidRPr="002E0809">
        <w:rPr>
          <w:rFonts w:eastAsia="Times New Roman"/>
          <w:lang w:val="en-GB"/>
        </w:rPr>
        <w:t>8. Evaluation and Impact Metrics</w:t>
      </w:r>
    </w:p>
    <w:p w14:paraId="2469BC37" w14:textId="77777777" w:rsidR="005E4992" w:rsidRDefault="005E4992" w:rsidP="005E4992">
      <w:pPr>
        <w:jc w:val="both"/>
      </w:pPr>
      <w:r>
        <w:t xml:space="preserve">A robust evaluation framework is essential to ensure that the proposed measures for strengthening the </w:t>
      </w:r>
      <w:proofErr w:type="spellStart"/>
      <w:r>
        <w:t>labour</w:t>
      </w:r>
      <w:proofErr w:type="spellEnd"/>
      <w:r>
        <w:t xml:space="preserve"> market orientation (LMO) of VET </w:t>
      </w:r>
      <w:proofErr w:type="spellStart"/>
      <w:r>
        <w:t>programmes</w:t>
      </w:r>
      <w:proofErr w:type="spellEnd"/>
      <w:r>
        <w:t xml:space="preserve"> deliver tangible, verifiable impact.</w:t>
      </w:r>
    </w:p>
    <w:p w14:paraId="23ADA7CE" w14:textId="07664747" w:rsidR="005E4992" w:rsidRDefault="005E4992" w:rsidP="005E4992">
      <w:pPr>
        <w:jc w:val="both"/>
      </w:pPr>
      <w:r>
        <w:t xml:space="preserve">Building on methodologies used in the </w:t>
      </w:r>
      <w:r w:rsidRPr="005E4992">
        <w:t>PreVEnT Project</w:t>
      </w:r>
      <w:r>
        <w:t xml:space="preserve"> and in </w:t>
      </w:r>
      <w:r w:rsidRPr="005E4992">
        <w:t>CEDEFOP’s Skills Intelligence Framework (2024)</w:t>
      </w:r>
      <w:r>
        <w:t xml:space="preserve">, the evaluation process should combine </w:t>
      </w:r>
      <w:r w:rsidRPr="005E4992">
        <w:t>quantitative metrics</w:t>
      </w:r>
      <w:r>
        <w:t xml:space="preserve">, </w:t>
      </w:r>
      <w:r w:rsidRPr="005E4992">
        <w:t>qualitative insights</w:t>
      </w:r>
      <w:r>
        <w:t xml:space="preserve">, and </w:t>
      </w:r>
      <w:r w:rsidRPr="005E4992">
        <w:t>continuous feedback loops</w:t>
      </w:r>
      <w:r>
        <w:t xml:space="preserve"> connecting regional actors, VET providers, and policymakers.</w:t>
      </w:r>
    </w:p>
    <w:p w14:paraId="514AD982" w14:textId="77777777" w:rsidR="005E4992" w:rsidRDefault="005E4992" w:rsidP="005E4992">
      <w:pPr>
        <w:jc w:val="both"/>
      </w:pPr>
      <w:r>
        <w:t xml:space="preserve">Evaluation should move beyond traditional academic indicators (e.g., completion rates) to focus on </w:t>
      </w:r>
      <w:r w:rsidRPr="005E4992">
        <w:t>real-world outcomes</w:t>
      </w:r>
      <w:r>
        <w:t xml:space="preserve"> — employability, skill relevance, SME engagement, and inclusion.</w:t>
      </w:r>
    </w:p>
    <w:p w14:paraId="580B42C8" w14:textId="3F872AE4" w:rsidR="005E4992" w:rsidRDefault="005E4992" w:rsidP="005E4992">
      <w:pPr>
        <w:jc w:val="both"/>
      </w:pPr>
      <w:r>
        <w:t>To achieve this, a mixed-method monitoring approach is recommended, integrating:</w:t>
      </w:r>
    </w:p>
    <w:p w14:paraId="1889DD98" w14:textId="15FB8641" w:rsidR="005E4992" w:rsidRDefault="005E4992" w:rsidP="005E4992">
      <w:pPr>
        <w:pStyle w:val="ListParagraph"/>
        <w:numPr>
          <w:ilvl w:val="0"/>
          <w:numId w:val="24"/>
        </w:numPr>
        <w:jc w:val="both"/>
      </w:pPr>
      <w:r w:rsidRPr="00E8176F">
        <w:rPr>
          <w:b/>
          <w:bCs/>
        </w:rPr>
        <w:lastRenderedPageBreak/>
        <w:t>Performance KPIs</w:t>
      </w:r>
      <w:r>
        <w:t xml:space="preserve"> derived from </w:t>
      </w:r>
      <w:proofErr w:type="spellStart"/>
      <w:r>
        <w:t>labour</w:t>
      </w:r>
      <w:proofErr w:type="spellEnd"/>
      <w:r>
        <w:t xml:space="preserve"> market and VET datasets (ANPAL, INAPP, CEDEFOP);</w:t>
      </w:r>
    </w:p>
    <w:p w14:paraId="0E1A0723" w14:textId="77777777" w:rsidR="0023249B" w:rsidRDefault="0023249B" w:rsidP="0023249B">
      <w:pPr>
        <w:pStyle w:val="ListParagraph"/>
        <w:jc w:val="both"/>
      </w:pPr>
    </w:p>
    <w:p w14:paraId="7C06C2DE" w14:textId="379930EA" w:rsidR="005E4992" w:rsidRDefault="005E4992" w:rsidP="005E4992">
      <w:pPr>
        <w:pStyle w:val="ListParagraph"/>
        <w:numPr>
          <w:ilvl w:val="0"/>
          <w:numId w:val="24"/>
        </w:numPr>
        <w:jc w:val="both"/>
      </w:pPr>
      <w:r w:rsidRPr="00E8176F">
        <w:rPr>
          <w:b/>
          <w:bCs/>
        </w:rPr>
        <w:t>Digital credential tracking</w:t>
      </w:r>
      <w:r>
        <w:t xml:space="preserve">, enabling continuous visibility of learner progression through </w:t>
      </w:r>
      <w:proofErr w:type="spellStart"/>
      <w:r w:rsidRPr="005E4992">
        <w:t>Europass</w:t>
      </w:r>
      <w:proofErr w:type="spellEnd"/>
      <w:r>
        <w:t xml:space="preserve"> and </w:t>
      </w:r>
      <w:r w:rsidRPr="005E4992">
        <w:t>EQF-aligned micro-credentials</w:t>
      </w:r>
      <w:r>
        <w:t>;</w:t>
      </w:r>
    </w:p>
    <w:p w14:paraId="410CBAEE" w14:textId="77777777" w:rsidR="005E4992" w:rsidRDefault="005E4992" w:rsidP="005E4992">
      <w:pPr>
        <w:pStyle w:val="ListParagraph"/>
        <w:jc w:val="both"/>
      </w:pPr>
    </w:p>
    <w:p w14:paraId="6D21DF55" w14:textId="7EA387A7" w:rsidR="005E4992" w:rsidRDefault="005E4992" w:rsidP="005E4992">
      <w:pPr>
        <w:pStyle w:val="ListParagraph"/>
        <w:numPr>
          <w:ilvl w:val="0"/>
          <w:numId w:val="24"/>
        </w:numPr>
        <w:jc w:val="both"/>
      </w:pPr>
      <w:r w:rsidRPr="00E8176F">
        <w:rPr>
          <w:b/>
          <w:bCs/>
        </w:rPr>
        <w:t>Feedback loops</w:t>
      </w:r>
      <w:r>
        <w:t xml:space="preserve"> between employers, regions, and training providers, ensuring curricula evolve in line with sectoral trends;</w:t>
      </w:r>
    </w:p>
    <w:p w14:paraId="4E829585" w14:textId="77777777" w:rsidR="005E4992" w:rsidRDefault="005E4992" w:rsidP="005E4992">
      <w:pPr>
        <w:pStyle w:val="ListParagraph"/>
      </w:pPr>
    </w:p>
    <w:p w14:paraId="746610E8" w14:textId="74BD1234" w:rsidR="005E4992" w:rsidRDefault="005E4992" w:rsidP="005E4992">
      <w:pPr>
        <w:pStyle w:val="ListParagraph"/>
        <w:numPr>
          <w:ilvl w:val="0"/>
          <w:numId w:val="24"/>
        </w:numPr>
        <w:jc w:val="both"/>
      </w:pPr>
      <w:r w:rsidRPr="00E8176F">
        <w:rPr>
          <w:b/>
          <w:bCs/>
        </w:rPr>
        <w:t>Equity and inclusion metrics</w:t>
      </w:r>
      <w:r>
        <w:t>, ensuring that social cohesion objectives remain embedded in all stages of VET delivery.</w:t>
      </w:r>
    </w:p>
    <w:p w14:paraId="20726C32" w14:textId="77777777" w:rsidR="0023249B" w:rsidRDefault="0023249B" w:rsidP="0023249B">
      <w:pPr>
        <w:jc w:val="both"/>
      </w:pPr>
    </w:p>
    <w:p w14:paraId="66938B6E" w14:textId="1872D6EF" w:rsidR="002E0809" w:rsidRDefault="00E8176F" w:rsidP="00E8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E8176F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drawing>
          <wp:inline distT="0" distB="0" distL="0" distR="0" wp14:anchorId="66DD9765" wp14:editId="7588E274">
            <wp:extent cx="4501173" cy="3079750"/>
            <wp:effectExtent l="0" t="0" r="0" b="6350"/>
            <wp:docPr id="1831347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538" cy="308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23610" w14:textId="77777777" w:rsidR="00E8176F" w:rsidRDefault="00E8176F" w:rsidP="00E8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44612AF" w14:textId="77777777" w:rsidR="00352257" w:rsidRDefault="00352257" w:rsidP="00E8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9C73F08" w14:textId="77777777" w:rsidR="0023249B" w:rsidRDefault="0023249B">
      <w:pPr>
        <w:rPr>
          <w:rStyle w:val="Strong"/>
          <w:rFonts w:ascii="Times New Roman" w:eastAsiaTheme="majorEastAsia" w:hAnsi="Times New Roman" w:cstheme="majorBidi"/>
          <w:bCs w:val="0"/>
          <w:color w:val="000000" w:themeColor="text1"/>
          <w:sz w:val="32"/>
          <w:szCs w:val="32"/>
        </w:rPr>
      </w:pPr>
      <w:r>
        <w:rPr>
          <w:rStyle w:val="Strong"/>
          <w:b w:val="0"/>
          <w:bCs w:val="0"/>
        </w:rPr>
        <w:br w:type="page"/>
      </w:r>
    </w:p>
    <w:p w14:paraId="09756F03" w14:textId="4E92334F" w:rsidR="00352257" w:rsidRDefault="00352257" w:rsidP="00352257">
      <w:pPr>
        <w:pStyle w:val="Heading2"/>
      </w:pPr>
      <w:r>
        <w:rPr>
          <w:rStyle w:val="Strong"/>
          <w:b/>
          <w:bCs w:val="0"/>
        </w:rPr>
        <w:lastRenderedPageBreak/>
        <w:t>9. Conclusion</w:t>
      </w:r>
    </w:p>
    <w:p w14:paraId="6D19E21A" w14:textId="6DA9C19F" w:rsidR="00352257" w:rsidRDefault="00352257" w:rsidP="00352257">
      <w:pPr>
        <w:jc w:val="both"/>
      </w:pPr>
      <w:r>
        <w:t xml:space="preserve">The alignment of Vocational Education and Training (VET) with </w:t>
      </w:r>
      <w:proofErr w:type="spellStart"/>
      <w:r>
        <w:t>labour</w:t>
      </w:r>
      <w:proofErr w:type="spellEnd"/>
      <w:r>
        <w:t>-market dynamics is no longer an optional reform, it is a strategic necessity for Europe’s industrial resilience, environmental sustainability, and social cohesion.</w:t>
      </w:r>
    </w:p>
    <w:p w14:paraId="6C682C30" w14:textId="4AE83129" w:rsidR="00352257" w:rsidRDefault="00352257" w:rsidP="00352257">
      <w:pPr>
        <w:jc w:val="both"/>
      </w:pPr>
      <w:r>
        <w:t xml:space="preserve">The evidence gathered through the </w:t>
      </w:r>
      <w:r w:rsidRPr="00352257">
        <w:t>PreVEnT Project</w:t>
      </w:r>
      <w:r>
        <w:t xml:space="preserve"> and parallel European initiatives confirms that when VET systems operate in close partnership with industry, supported by </w:t>
      </w:r>
      <w:r w:rsidRPr="00352257">
        <w:t>Work-Based Learning (WBL)</w:t>
      </w:r>
      <w:r>
        <w:t xml:space="preserve">, </w:t>
      </w:r>
      <w:r w:rsidRPr="00352257">
        <w:t>Teaching Factories (TFs)</w:t>
      </w:r>
      <w:r>
        <w:t xml:space="preserve">, and </w:t>
      </w:r>
      <w:r w:rsidRPr="00352257">
        <w:t>micro-credential frameworks</w:t>
      </w:r>
      <w:r>
        <w:t>, they deliver measurable gains in employability, productivity, and sustainability.</w:t>
      </w:r>
    </w:p>
    <w:p w14:paraId="11131C62" w14:textId="77777777" w:rsidR="00352257" w:rsidRDefault="00352257" w:rsidP="00352257">
      <w:pPr>
        <w:jc w:val="both"/>
      </w:pPr>
      <w:r>
        <w:t>For Italy and the wider EU, the transition from traditional, qualification-</w:t>
      </w:r>
      <w:proofErr w:type="spellStart"/>
      <w:r>
        <w:t>centred</w:t>
      </w:r>
      <w:proofErr w:type="spellEnd"/>
      <w:r>
        <w:t xml:space="preserve"> VET models to </w:t>
      </w:r>
      <w:r>
        <w:rPr>
          <w:rStyle w:val="Strong"/>
        </w:rPr>
        <w:t>data-driven, adaptive, and outcome-oriented ecosystems</w:t>
      </w:r>
      <w:r>
        <w:t xml:space="preserve"> represents a pivotal shift.</w:t>
      </w:r>
    </w:p>
    <w:p w14:paraId="7002626D" w14:textId="77777777" w:rsidR="00352257" w:rsidRDefault="00352257" w:rsidP="00352257">
      <w:pPr>
        <w:jc w:val="both"/>
      </w:pPr>
      <w:r>
        <w:br/>
        <w:t>Embedding predictive maintenance, artificial intelligence, and lifecycle-based thinking within curricula ensures that learners acquire competences directly relevant to the twin transitions, digital and green, while supporting the competitiveness of small and medium-sized enterprises.</w:t>
      </w:r>
    </w:p>
    <w:p w14:paraId="73741FA0" w14:textId="30518E85" w:rsidR="00352257" w:rsidRDefault="00352257" w:rsidP="00352257">
      <w:pPr>
        <w:jc w:val="both"/>
      </w:pPr>
      <w:r>
        <w:t xml:space="preserve">Equally, empowering trainers through </w:t>
      </w:r>
      <w:r w:rsidRPr="00352257">
        <w:rPr>
          <w:b/>
          <w:bCs/>
        </w:rPr>
        <w:t>digital pedagogy (</w:t>
      </w:r>
      <w:proofErr w:type="spellStart"/>
      <w:r w:rsidRPr="00352257">
        <w:rPr>
          <w:b/>
          <w:bCs/>
        </w:rPr>
        <w:t>DigCompEdu</w:t>
      </w:r>
      <w:proofErr w:type="spellEnd"/>
      <w:r w:rsidRPr="00352257">
        <w:rPr>
          <w:b/>
          <w:bCs/>
        </w:rPr>
        <w:t>)</w:t>
      </w:r>
      <w:r>
        <w:t xml:space="preserve"> and open-resource collaboration guarantees that innovation in learning design keeps pace with technological change.</w:t>
      </w:r>
    </w:p>
    <w:p w14:paraId="2E9CD65D" w14:textId="51D86D19" w:rsidR="00352257" w:rsidRDefault="00352257" w:rsidP="00352257">
      <w:pPr>
        <w:jc w:val="both"/>
      </w:pPr>
      <w:r>
        <w:t xml:space="preserve">The proposed roadmap—grounded in the </w:t>
      </w:r>
      <w:r w:rsidRPr="00352257">
        <w:t>Council Recommendation on VET (2020)</w:t>
      </w:r>
      <w:r>
        <w:t xml:space="preserve">, the </w:t>
      </w:r>
      <w:r w:rsidRPr="00352257">
        <w:t>European Skills Agenda (2025)</w:t>
      </w:r>
      <w:r>
        <w:t xml:space="preserve">, and the </w:t>
      </w:r>
      <w:r w:rsidRPr="00352257">
        <w:t>Digital Education Action Plan (2021-2027)</w:t>
      </w:r>
      <w:r>
        <w:t xml:space="preserve">—positions Italy as a frontrunner in establishing a VET model that is both </w:t>
      </w:r>
      <w:proofErr w:type="spellStart"/>
      <w:r w:rsidRPr="00352257">
        <w:t>labour</w:t>
      </w:r>
      <w:proofErr w:type="spellEnd"/>
      <w:r w:rsidRPr="00352257">
        <w:t>-responsive and socially inclusive</w:t>
      </w:r>
      <w:r>
        <w:t>.</w:t>
      </w:r>
    </w:p>
    <w:p w14:paraId="48EE366F" w14:textId="76DE4493" w:rsidR="00352257" w:rsidRDefault="00352257" w:rsidP="00352257">
      <w:pPr>
        <w:jc w:val="both"/>
      </w:pPr>
      <w:r>
        <w:t xml:space="preserve">Through the integration of </w:t>
      </w:r>
      <w:r w:rsidRPr="00352257">
        <w:t>skills intelligence systems</w:t>
      </w:r>
      <w:r>
        <w:t xml:space="preserve">, </w:t>
      </w:r>
      <w:r w:rsidRPr="00352257">
        <w:t>regional governance</w:t>
      </w:r>
      <w:r>
        <w:t xml:space="preserve">, and </w:t>
      </w:r>
      <w:r w:rsidRPr="00352257">
        <w:t>performance-based evaluation</w:t>
      </w:r>
      <w:r>
        <w:t xml:space="preserve">, policymakers can ensure that public investment in education translates into verified </w:t>
      </w:r>
      <w:proofErr w:type="spellStart"/>
      <w:r>
        <w:t>labour</w:t>
      </w:r>
      <w:proofErr w:type="spellEnd"/>
      <w:r>
        <w:t>-market impact.</w:t>
      </w:r>
    </w:p>
    <w:p w14:paraId="1A98716D" w14:textId="77777777" w:rsidR="00352257" w:rsidRDefault="00352257" w:rsidP="00352257">
      <w:pPr>
        <w:jc w:val="both"/>
      </w:pPr>
      <w:r>
        <w:t xml:space="preserve">Ultimately, a </w:t>
      </w:r>
      <w:proofErr w:type="spellStart"/>
      <w:r>
        <w:t>labour</w:t>
      </w:r>
      <w:proofErr w:type="spellEnd"/>
      <w:r>
        <w:t xml:space="preserve">-market-oriented VET system is the cornerstone of a </w:t>
      </w:r>
      <w:r w:rsidRPr="00352257">
        <w:t>future-ready Europe</w:t>
      </w:r>
      <w:r>
        <w:t>—one where education anticipates industrial transformation, where learning is lifelong and portable, and where economic growth is achieved in balance with environmental responsibility and social equity.</w:t>
      </w:r>
    </w:p>
    <w:p w14:paraId="75AB1D28" w14:textId="654413F9" w:rsidR="00352257" w:rsidRDefault="00352257" w:rsidP="00352257">
      <w:pPr>
        <w:jc w:val="both"/>
      </w:pPr>
      <w:r>
        <w:t xml:space="preserve">By </w:t>
      </w:r>
      <w:proofErr w:type="spellStart"/>
      <w:r>
        <w:t>institutionalising</w:t>
      </w:r>
      <w:proofErr w:type="spellEnd"/>
      <w:r>
        <w:t xml:space="preserve"> these principles, Europe can secure a skilled, adaptable, and inclusive workforce capable of sustaining prosperity through the digital and green decades ahead.</w:t>
      </w:r>
    </w:p>
    <w:p w14:paraId="080384A7" w14:textId="77777777" w:rsidR="005E4992" w:rsidRDefault="005E4992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  <w:br w:type="page"/>
      </w:r>
    </w:p>
    <w:p w14:paraId="7F42E5F5" w14:textId="73791ABC" w:rsidR="002E0809" w:rsidRPr="002E0809" w:rsidRDefault="002E0809" w:rsidP="002E0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  <w:lastRenderedPageBreak/>
        <w:t>References</w:t>
      </w:r>
    </w:p>
    <w:p w14:paraId="447CECDA" w14:textId="77777777" w:rsidR="002E0809" w:rsidRPr="002E0809" w:rsidRDefault="002E0809" w:rsidP="002E08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CEDEFOP (2024–2025). </w:t>
      </w:r>
      <w:r w:rsidRPr="002E0809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AI Futures of Work; Skills Empower Workers in the AI Revolution; Integrating Green Transition in VET.</w:t>
      </w:r>
    </w:p>
    <w:p w14:paraId="079742FC" w14:textId="77777777" w:rsidR="002E0809" w:rsidRPr="002E0809" w:rsidRDefault="002E0809" w:rsidP="002E08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European Commission (2025). </w:t>
      </w:r>
      <w:r w:rsidRPr="002E0809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European Skills Agenda; Digital Education Action Plan 2021–2027.</w:t>
      </w:r>
    </w:p>
    <w:p w14:paraId="50F18494" w14:textId="77777777" w:rsidR="002E0809" w:rsidRPr="002E0809" w:rsidRDefault="002E0809" w:rsidP="002E08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European Council (2022). </w:t>
      </w:r>
      <w:r w:rsidRPr="002E0809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Recommendation on Micro-Credentials (2022/C 243/02).</w:t>
      </w:r>
    </w:p>
    <w:p w14:paraId="5C780319" w14:textId="77777777" w:rsidR="002E0809" w:rsidRPr="002E0809" w:rsidRDefault="002E0809" w:rsidP="002E08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OECD (2023). </w:t>
      </w:r>
      <w:r w:rsidRPr="002E0809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Aligning VET and Labour Market Needs.</w:t>
      </w:r>
    </w:p>
    <w:p w14:paraId="031BAE0D" w14:textId="77777777" w:rsidR="002E0809" w:rsidRPr="002E0809" w:rsidRDefault="002E0809" w:rsidP="002E08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2E08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Unioncamere</w:t>
      </w:r>
      <w:proofErr w:type="spellEnd"/>
      <w:r w:rsidRPr="002E08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–ANPAL (2024). </w:t>
      </w:r>
      <w:r w:rsidRPr="002E0809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Excelsior Report: Occupational and Skills Needs in Italy.</w:t>
      </w:r>
    </w:p>
    <w:p w14:paraId="57F0E5A3" w14:textId="77777777" w:rsidR="002E0809" w:rsidRPr="002E0809" w:rsidRDefault="002E0809" w:rsidP="002E08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EIT Manufacturing (2025). </w:t>
      </w:r>
      <w:r w:rsidRPr="002E0809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Teaching Factories Competition and Guidelines.</w:t>
      </w:r>
    </w:p>
    <w:p w14:paraId="4FA691E8" w14:textId="77777777" w:rsidR="002E0809" w:rsidRPr="002E0809" w:rsidRDefault="002E0809" w:rsidP="002E08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E080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PreVEnT Project (2024). </w:t>
      </w:r>
      <w:r w:rsidRPr="002E0809">
        <w:rPr>
          <w:rFonts w:ascii="Times New Roman" w:eastAsia="Times New Roman" w:hAnsi="Times New Roman" w:cs="Times New Roman"/>
          <w:i/>
          <w:iCs/>
          <w:kern w:val="0"/>
          <w:lang w:val="en-GB"/>
          <w14:ligatures w14:val="none"/>
        </w:rPr>
        <w:t>Final Report: Deep-Tech Predictive Maintenance Training.</w:t>
      </w:r>
    </w:p>
    <w:p w14:paraId="0021EE31" w14:textId="77777777" w:rsidR="002E0809" w:rsidRPr="005E4992" w:rsidRDefault="002E0809">
      <w:pPr>
        <w:rPr>
          <w:lang w:val="en-GB"/>
        </w:rPr>
      </w:pPr>
    </w:p>
    <w:sectPr w:rsidR="002E0809" w:rsidRPr="005E499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43A1" w14:textId="77777777" w:rsidR="008C19BF" w:rsidRDefault="008C19BF" w:rsidP="00352257">
      <w:pPr>
        <w:spacing w:after="0" w:line="240" w:lineRule="auto"/>
      </w:pPr>
      <w:r>
        <w:separator/>
      </w:r>
    </w:p>
  </w:endnote>
  <w:endnote w:type="continuationSeparator" w:id="0">
    <w:p w14:paraId="37729920" w14:textId="77777777" w:rsidR="008C19BF" w:rsidRDefault="008C19BF" w:rsidP="0035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D95D" w14:textId="77777777" w:rsidR="008C19BF" w:rsidRDefault="008C19BF" w:rsidP="00352257">
      <w:pPr>
        <w:spacing w:after="0" w:line="240" w:lineRule="auto"/>
      </w:pPr>
      <w:r>
        <w:separator/>
      </w:r>
    </w:p>
  </w:footnote>
  <w:footnote w:type="continuationSeparator" w:id="0">
    <w:p w14:paraId="48A9DD09" w14:textId="77777777" w:rsidR="008C19BF" w:rsidRDefault="008C19BF" w:rsidP="0035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A1B5" w14:textId="7A6993FE" w:rsidR="00352257" w:rsidRDefault="00352257">
    <w:pPr>
      <w:pStyle w:val="Header"/>
    </w:pPr>
    <w:r>
      <w:rPr>
        <w:noProof/>
      </w:rPr>
      <w:drawing>
        <wp:inline distT="0" distB="0" distL="0" distR="0" wp14:anchorId="3F5F79A6" wp14:editId="4CCAB13E">
          <wp:extent cx="3485982" cy="762000"/>
          <wp:effectExtent l="0" t="0" r="0" b="0"/>
          <wp:docPr id="1477060488" name="Picture 1" descr="PreV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PreV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056" cy="76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C5B"/>
    <w:multiLevelType w:val="hybridMultilevel"/>
    <w:tmpl w:val="ED520AD6"/>
    <w:lvl w:ilvl="0" w:tplc="3CE6C5F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020C"/>
    <w:multiLevelType w:val="multilevel"/>
    <w:tmpl w:val="67A0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51823"/>
    <w:multiLevelType w:val="multilevel"/>
    <w:tmpl w:val="59D8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D77DC"/>
    <w:multiLevelType w:val="multilevel"/>
    <w:tmpl w:val="2A3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C54D2"/>
    <w:multiLevelType w:val="multilevel"/>
    <w:tmpl w:val="8D9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5737B"/>
    <w:multiLevelType w:val="hybridMultilevel"/>
    <w:tmpl w:val="1E586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C7B0D"/>
    <w:multiLevelType w:val="multilevel"/>
    <w:tmpl w:val="E828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43AA8"/>
    <w:multiLevelType w:val="multilevel"/>
    <w:tmpl w:val="1CEE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36E30"/>
    <w:multiLevelType w:val="multilevel"/>
    <w:tmpl w:val="0A5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34E20"/>
    <w:multiLevelType w:val="hybridMultilevel"/>
    <w:tmpl w:val="E1E82008"/>
    <w:lvl w:ilvl="0" w:tplc="3CE6C5F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9302B"/>
    <w:multiLevelType w:val="multilevel"/>
    <w:tmpl w:val="4264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2297C"/>
    <w:multiLevelType w:val="hybridMultilevel"/>
    <w:tmpl w:val="5B46EE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F33E5"/>
    <w:multiLevelType w:val="multilevel"/>
    <w:tmpl w:val="3468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F6824"/>
    <w:multiLevelType w:val="hybridMultilevel"/>
    <w:tmpl w:val="175C6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B25BE"/>
    <w:multiLevelType w:val="hybridMultilevel"/>
    <w:tmpl w:val="35288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4506A"/>
    <w:multiLevelType w:val="hybridMultilevel"/>
    <w:tmpl w:val="627A4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F2967"/>
    <w:multiLevelType w:val="multilevel"/>
    <w:tmpl w:val="041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A02BA"/>
    <w:multiLevelType w:val="multilevel"/>
    <w:tmpl w:val="A33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27EDA"/>
    <w:multiLevelType w:val="multilevel"/>
    <w:tmpl w:val="6610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965B2"/>
    <w:multiLevelType w:val="multilevel"/>
    <w:tmpl w:val="5A5C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A3E54"/>
    <w:multiLevelType w:val="hybridMultilevel"/>
    <w:tmpl w:val="E70662E8"/>
    <w:lvl w:ilvl="0" w:tplc="3CE6C5F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342E6"/>
    <w:multiLevelType w:val="multilevel"/>
    <w:tmpl w:val="694A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06A72"/>
    <w:multiLevelType w:val="multilevel"/>
    <w:tmpl w:val="D91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416F3"/>
    <w:multiLevelType w:val="hybridMultilevel"/>
    <w:tmpl w:val="4D727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034">
    <w:abstractNumId w:val="12"/>
  </w:num>
  <w:num w:numId="2" w16cid:durableId="430049181">
    <w:abstractNumId w:val="22"/>
  </w:num>
  <w:num w:numId="3" w16cid:durableId="1385986277">
    <w:abstractNumId w:val="10"/>
  </w:num>
  <w:num w:numId="4" w16cid:durableId="429357543">
    <w:abstractNumId w:val="7"/>
  </w:num>
  <w:num w:numId="5" w16cid:durableId="1794517975">
    <w:abstractNumId w:val="17"/>
  </w:num>
  <w:num w:numId="6" w16cid:durableId="991561392">
    <w:abstractNumId w:val="1"/>
  </w:num>
  <w:num w:numId="7" w16cid:durableId="971903359">
    <w:abstractNumId w:val="8"/>
  </w:num>
  <w:num w:numId="8" w16cid:durableId="247078433">
    <w:abstractNumId w:val="16"/>
  </w:num>
  <w:num w:numId="9" w16cid:durableId="1448312461">
    <w:abstractNumId w:val="4"/>
  </w:num>
  <w:num w:numId="10" w16cid:durableId="675962736">
    <w:abstractNumId w:val="6"/>
  </w:num>
  <w:num w:numId="11" w16cid:durableId="854491121">
    <w:abstractNumId w:val="3"/>
  </w:num>
  <w:num w:numId="12" w16cid:durableId="246884799">
    <w:abstractNumId w:val="2"/>
  </w:num>
  <w:num w:numId="13" w16cid:durableId="893388382">
    <w:abstractNumId w:val="21"/>
  </w:num>
  <w:num w:numId="14" w16cid:durableId="368798753">
    <w:abstractNumId w:val="19"/>
  </w:num>
  <w:num w:numId="15" w16cid:durableId="1291088845">
    <w:abstractNumId w:val="15"/>
  </w:num>
  <w:num w:numId="16" w16cid:durableId="1128858901">
    <w:abstractNumId w:val="20"/>
  </w:num>
  <w:num w:numId="17" w16cid:durableId="220093714">
    <w:abstractNumId w:val="11"/>
  </w:num>
  <w:num w:numId="18" w16cid:durableId="1496720094">
    <w:abstractNumId w:val="13"/>
  </w:num>
  <w:num w:numId="19" w16cid:durableId="997416819">
    <w:abstractNumId w:val="23"/>
  </w:num>
  <w:num w:numId="20" w16cid:durableId="1973512100">
    <w:abstractNumId w:val="9"/>
  </w:num>
  <w:num w:numId="21" w16cid:durableId="1381321919">
    <w:abstractNumId w:val="0"/>
  </w:num>
  <w:num w:numId="22" w16cid:durableId="888371549">
    <w:abstractNumId w:val="18"/>
  </w:num>
  <w:num w:numId="23" w16cid:durableId="1167525228">
    <w:abstractNumId w:val="5"/>
  </w:num>
  <w:num w:numId="24" w16cid:durableId="1217470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OyNDMwMjazMDQFMpR0lIJTi4sz8/NACoxqAR5ksa4sAAAA"/>
  </w:docVars>
  <w:rsids>
    <w:rsidRoot w:val="002E0809"/>
    <w:rsid w:val="0023249B"/>
    <w:rsid w:val="002C6417"/>
    <w:rsid w:val="002E0809"/>
    <w:rsid w:val="00352257"/>
    <w:rsid w:val="00547EAF"/>
    <w:rsid w:val="005D5415"/>
    <w:rsid w:val="005E4992"/>
    <w:rsid w:val="008C19BF"/>
    <w:rsid w:val="009176D4"/>
    <w:rsid w:val="00986DAC"/>
    <w:rsid w:val="00A32817"/>
    <w:rsid w:val="00A61B2A"/>
    <w:rsid w:val="00CF1159"/>
    <w:rsid w:val="00D619AD"/>
    <w:rsid w:val="00DC2709"/>
    <w:rsid w:val="00E8176F"/>
    <w:rsid w:val="00F011A8"/>
    <w:rsid w:val="00F1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0F5A"/>
  <w15:chartTrackingRefBased/>
  <w15:docId w15:val="{E2F35593-8A98-4966-B703-CF8D7824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09"/>
  </w:style>
  <w:style w:type="paragraph" w:styleId="Heading1">
    <w:name w:val="heading 1"/>
    <w:basedOn w:val="Normal"/>
    <w:next w:val="Normal"/>
    <w:link w:val="Heading1Char"/>
    <w:uiPriority w:val="9"/>
    <w:qFormat/>
    <w:rsid w:val="002E0809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809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09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809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080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0809"/>
    <w:rPr>
      <w:rFonts w:ascii="Times New Roman" w:eastAsiaTheme="majorEastAsia" w:hAnsi="Times New Roman" w:cstheme="majorBidi"/>
      <w:b/>
      <w:color w:val="000000" w:themeColor="text1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0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8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0809"/>
    <w:rPr>
      <w:b/>
      <w:bCs/>
    </w:rPr>
  </w:style>
  <w:style w:type="paragraph" w:styleId="NormalWeb">
    <w:name w:val="Normal (Web)"/>
    <w:basedOn w:val="Normal"/>
    <w:uiPriority w:val="99"/>
    <w:unhideWhenUsed/>
    <w:rsid w:val="002E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E0809"/>
    <w:rPr>
      <w:i/>
      <w:iCs/>
    </w:rPr>
  </w:style>
  <w:style w:type="paragraph" w:styleId="NoSpacing">
    <w:name w:val="No Spacing"/>
    <w:uiPriority w:val="1"/>
    <w:qFormat/>
    <w:rsid w:val="00F116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2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257"/>
  </w:style>
  <w:style w:type="paragraph" w:styleId="Footer">
    <w:name w:val="footer"/>
    <w:basedOn w:val="Normal"/>
    <w:link w:val="FooterChar"/>
    <w:uiPriority w:val="99"/>
    <w:unhideWhenUsed/>
    <w:rsid w:val="00352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Kosari</dc:creator>
  <cp:keywords/>
  <dc:description/>
  <cp:lastModifiedBy>Arash Kosari</cp:lastModifiedBy>
  <cp:revision>5</cp:revision>
  <dcterms:created xsi:type="dcterms:W3CDTF">2025-10-30T13:12:00Z</dcterms:created>
  <dcterms:modified xsi:type="dcterms:W3CDTF">2025-10-31T09:07:00Z</dcterms:modified>
</cp:coreProperties>
</file>