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1B197" w14:textId="77777777" w:rsidR="00306134" w:rsidRPr="003B2C5A" w:rsidRDefault="00306134" w:rsidP="00EA78CB">
      <w:pPr>
        <w:spacing w:after="120"/>
        <w:jc w:val="center"/>
        <w:rPr>
          <w:rFonts w:ascii="Arial" w:hAnsi="Arial"/>
          <w:b/>
          <w:sz w:val="32"/>
          <w:szCs w:val="32"/>
          <w:u w:val="single"/>
        </w:rPr>
      </w:pPr>
    </w:p>
    <w:p w14:paraId="6E60CEB2" w14:textId="77777777" w:rsidR="00306134" w:rsidRPr="003B2C5A" w:rsidRDefault="00306134" w:rsidP="00EA78CB">
      <w:pPr>
        <w:spacing w:after="120"/>
        <w:jc w:val="center"/>
        <w:rPr>
          <w:rFonts w:ascii="Arial" w:hAnsi="Arial"/>
          <w:b/>
          <w:sz w:val="32"/>
          <w:szCs w:val="32"/>
          <w:u w:val="single"/>
        </w:rPr>
      </w:pPr>
    </w:p>
    <w:p w14:paraId="3D45A0B1" w14:textId="77777777" w:rsidR="00684193" w:rsidRPr="003B2C5A" w:rsidRDefault="00684193" w:rsidP="00EA78CB">
      <w:pPr>
        <w:spacing w:after="120"/>
        <w:jc w:val="center"/>
        <w:rPr>
          <w:rFonts w:ascii="Arial" w:hAnsi="Arial"/>
          <w:b/>
          <w:sz w:val="32"/>
          <w:szCs w:val="32"/>
          <w:u w:val="single"/>
        </w:rPr>
      </w:pPr>
    </w:p>
    <w:p w14:paraId="6415D429" w14:textId="77777777" w:rsidR="00AD221C" w:rsidRPr="003B2C5A" w:rsidRDefault="00AD221C" w:rsidP="00EA78CB">
      <w:pPr>
        <w:spacing w:after="120" w:line="360" w:lineRule="auto"/>
        <w:jc w:val="center"/>
        <w:rPr>
          <w:rFonts w:ascii="Arial" w:hAnsi="Arial"/>
          <w:b/>
        </w:rPr>
      </w:pPr>
    </w:p>
    <w:p w14:paraId="34791D8F" w14:textId="77777777" w:rsidR="00AD221C" w:rsidRPr="00177980" w:rsidRDefault="00AD221C" w:rsidP="00EA78CB">
      <w:pPr>
        <w:spacing w:after="120"/>
        <w:jc w:val="center"/>
        <w:rPr>
          <w:rFonts w:asciiTheme="minorHAnsi" w:hAnsiTheme="minorHAnsi"/>
          <w:b/>
          <w:color w:val="000080"/>
          <w:sz w:val="28"/>
          <w:szCs w:val="28"/>
        </w:rPr>
      </w:pPr>
      <w:proofErr w:type="spellStart"/>
      <w:r w:rsidRPr="00177980">
        <w:rPr>
          <w:rFonts w:asciiTheme="minorHAnsi" w:hAnsiTheme="minorHAnsi"/>
          <w:b/>
          <w:color w:val="000080"/>
          <w:sz w:val="28"/>
          <w:szCs w:val="28"/>
        </w:rPr>
        <w:t>PreVEnT</w:t>
      </w:r>
      <w:proofErr w:type="spellEnd"/>
      <w:r w:rsidR="00346F52" w:rsidRPr="00177980">
        <w:rPr>
          <w:rFonts w:asciiTheme="minorHAnsi" w:hAnsiTheme="minorHAnsi"/>
          <w:b/>
          <w:color w:val="000080"/>
          <w:sz w:val="28"/>
          <w:szCs w:val="28"/>
        </w:rPr>
        <w:t xml:space="preserve"> </w:t>
      </w:r>
      <w:r w:rsidRPr="00177980">
        <w:rPr>
          <w:rFonts w:asciiTheme="minorHAnsi" w:hAnsiTheme="minorHAnsi"/>
          <w:b/>
          <w:color w:val="000080"/>
          <w:sz w:val="28"/>
          <w:szCs w:val="28"/>
        </w:rPr>
        <w:t xml:space="preserve">Project: Predictive Maintenance via Deep Tech Solutions for Environmental and Social Impacts </w:t>
      </w:r>
      <w:r w:rsidR="00346F52" w:rsidRPr="00177980">
        <w:rPr>
          <w:rFonts w:asciiTheme="minorHAnsi" w:hAnsiTheme="minorHAnsi"/>
          <w:b/>
          <w:color w:val="000080"/>
          <w:sz w:val="28"/>
          <w:szCs w:val="28"/>
        </w:rPr>
        <w:t>in Manufacturing</w:t>
      </w:r>
    </w:p>
    <w:p w14:paraId="4C989357" w14:textId="33C1505D" w:rsidR="00AD221C" w:rsidRPr="00177980" w:rsidRDefault="00AD221C" w:rsidP="00EA78CB">
      <w:pPr>
        <w:spacing w:after="120"/>
        <w:jc w:val="center"/>
        <w:rPr>
          <w:rFonts w:asciiTheme="minorHAnsi" w:hAnsiTheme="minorHAnsi"/>
          <w:b/>
          <w:color w:val="000080"/>
          <w:sz w:val="28"/>
          <w:szCs w:val="28"/>
        </w:rPr>
      </w:pPr>
      <w:r w:rsidRPr="00177980">
        <w:rPr>
          <w:rFonts w:asciiTheme="minorHAnsi" w:hAnsiTheme="minorHAnsi"/>
          <w:b/>
          <w:color w:val="000080"/>
          <w:sz w:val="28"/>
          <w:szCs w:val="28"/>
        </w:rPr>
        <w:t>Project Ref.: 2023-1-RO01-KA220-VET-000151056</w:t>
      </w:r>
    </w:p>
    <w:p w14:paraId="1A34C5FF" w14:textId="759C82AD" w:rsidR="00684193" w:rsidRPr="00177980" w:rsidRDefault="00684193" w:rsidP="00EA78CB">
      <w:pPr>
        <w:spacing w:after="120"/>
        <w:jc w:val="center"/>
        <w:rPr>
          <w:rFonts w:asciiTheme="minorHAnsi" w:hAnsiTheme="minorHAnsi"/>
          <w:b/>
          <w:color w:val="000080"/>
          <w:sz w:val="28"/>
          <w:szCs w:val="28"/>
        </w:rPr>
      </w:pPr>
    </w:p>
    <w:p w14:paraId="1FB050DD" w14:textId="6081ECE9" w:rsidR="00684193" w:rsidRPr="00177980" w:rsidRDefault="00684193" w:rsidP="00EA78CB">
      <w:pPr>
        <w:spacing w:after="120"/>
        <w:jc w:val="center"/>
        <w:rPr>
          <w:rFonts w:asciiTheme="minorHAnsi" w:hAnsiTheme="minorHAnsi"/>
          <w:b/>
          <w:color w:val="000080"/>
          <w:sz w:val="28"/>
          <w:szCs w:val="28"/>
        </w:rPr>
      </w:pPr>
    </w:p>
    <w:p w14:paraId="32DAA572" w14:textId="77777777" w:rsidR="00684193" w:rsidRPr="00177980" w:rsidRDefault="00684193" w:rsidP="00EA78CB">
      <w:pPr>
        <w:spacing w:after="120"/>
        <w:jc w:val="center"/>
        <w:rPr>
          <w:rFonts w:asciiTheme="minorHAnsi" w:hAnsiTheme="minorHAnsi"/>
          <w:b/>
          <w:color w:val="000080"/>
          <w:sz w:val="28"/>
          <w:szCs w:val="28"/>
        </w:rPr>
      </w:pPr>
    </w:p>
    <w:p w14:paraId="6B9FDC01" w14:textId="77777777" w:rsidR="00684193" w:rsidRPr="00177980" w:rsidRDefault="00684193" w:rsidP="00EA78CB">
      <w:pPr>
        <w:spacing w:after="120"/>
        <w:jc w:val="center"/>
        <w:rPr>
          <w:rFonts w:asciiTheme="minorHAnsi" w:hAnsiTheme="minorHAnsi"/>
          <w:b/>
          <w:color w:val="000080"/>
          <w:sz w:val="28"/>
          <w:szCs w:val="28"/>
        </w:rPr>
      </w:pPr>
    </w:p>
    <w:p w14:paraId="18C922AF" w14:textId="77777777" w:rsidR="00684193" w:rsidRPr="00177980" w:rsidRDefault="00684193" w:rsidP="00EA78CB">
      <w:pPr>
        <w:spacing w:after="120"/>
        <w:jc w:val="center"/>
        <w:rPr>
          <w:rFonts w:asciiTheme="minorHAnsi" w:hAnsiTheme="minorHAnsi"/>
          <w:b/>
          <w:sz w:val="32"/>
          <w:szCs w:val="32"/>
          <w:u w:val="single"/>
        </w:rPr>
      </w:pPr>
      <w:r w:rsidRPr="00177980">
        <w:rPr>
          <w:rFonts w:asciiTheme="minorHAnsi" w:hAnsiTheme="minorHAnsi"/>
          <w:b/>
          <w:sz w:val="32"/>
          <w:szCs w:val="32"/>
          <w:u w:val="single"/>
        </w:rPr>
        <w:t>Policy recommendation</w:t>
      </w:r>
    </w:p>
    <w:p w14:paraId="77445223" w14:textId="77777777" w:rsidR="00684193" w:rsidRPr="00177980" w:rsidRDefault="00684193" w:rsidP="00EA78CB">
      <w:pPr>
        <w:spacing w:after="120"/>
        <w:jc w:val="center"/>
        <w:rPr>
          <w:rFonts w:asciiTheme="minorHAnsi" w:hAnsiTheme="minorHAnsi"/>
          <w:b/>
          <w:sz w:val="32"/>
          <w:szCs w:val="32"/>
          <w:u w:val="single"/>
        </w:rPr>
      </w:pPr>
    </w:p>
    <w:p w14:paraId="130FFC42" w14:textId="1844AC65" w:rsidR="00684193" w:rsidRPr="00177980" w:rsidRDefault="00684193" w:rsidP="00EA78CB">
      <w:pPr>
        <w:spacing w:after="120"/>
        <w:jc w:val="center"/>
        <w:rPr>
          <w:rFonts w:asciiTheme="minorHAnsi" w:hAnsiTheme="minorHAnsi"/>
          <w:b/>
          <w:sz w:val="32"/>
          <w:szCs w:val="32"/>
          <w:u w:val="single"/>
        </w:rPr>
      </w:pPr>
      <w:r w:rsidRPr="00177980">
        <w:rPr>
          <w:rFonts w:asciiTheme="minorHAnsi" w:hAnsiTheme="minorHAnsi"/>
          <w:b/>
          <w:sz w:val="32"/>
          <w:szCs w:val="32"/>
          <w:u w:val="single"/>
        </w:rPr>
        <w:t>Embedding deep tech applications for solving Predictive Maintenance (</w:t>
      </w:r>
      <w:proofErr w:type="spellStart"/>
      <w:r w:rsidRPr="00177980">
        <w:rPr>
          <w:rFonts w:asciiTheme="minorHAnsi" w:hAnsiTheme="minorHAnsi"/>
          <w:b/>
          <w:sz w:val="32"/>
          <w:szCs w:val="32"/>
          <w:u w:val="single"/>
        </w:rPr>
        <w:t>PdM</w:t>
      </w:r>
      <w:proofErr w:type="spellEnd"/>
      <w:r w:rsidRPr="00177980">
        <w:rPr>
          <w:rFonts w:asciiTheme="minorHAnsi" w:hAnsiTheme="minorHAnsi"/>
          <w:b/>
          <w:sz w:val="32"/>
          <w:szCs w:val="32"/>
          <w:u w:val="single"/>
        </w:rPr>
        <w:t>) challenges with environmental and social impact</w:t>
      </w:r>
    </w:p>
    <w:p w14:paraId="1D966FFE" w14:textId="1C3F417B" w:rsidR="00684193" w:rsidRPr="00177980" w:rsidRDefault="00684193" w:rsidP="00EA78CB">
      <w:pPr>
        <w:spacing w:after="120"/>
        <w:jc w:val="center"/>
        <w:rPr>
          <w:rFonts w:asciiTheme="minorHAnsi" w:hAnsiTheme="minorHAnsi"/>
          <w:b/>
          <w:sz w:val="32"/>
          <w:szCs w:val="32"/>
          <w:u w:val="single"/>
        </w:rPr>
      </w:pPr>
    </w:p>
    <w:p w14:paraId="41BFD50A" w14:textId="775CB3CD" w:rsidR="00684193" w:rsidRPr="00177980" w:rsidRDefault="00684193" w:rsidP="00EA78CB">
      <w:pPr>
        <w:spacing w:after="120"/>
        <w:jc w:val="center"/>
        <w:rPr>
          <w:rFonts w:asciiTheme="minorHAnsi" w:hAnsiTheme="minorHAnsi"/>
          <w:b/>
          <w:sz w:val="32"/>
          <w:szCs w:val="32"/>
          <w:u w:val="single"/>
        </w:rPr>
      </w:pPr>
    </w:p>
    <w:p w14:paraId="0F89F516" w14:textId="3A8BFEAC" w:rsidR="00684193" w:rsidRPr="00177980" w:rsidRDefault="00684193" w:rsidP="00EA78CB">
      <w:pPr>
        <w:spacing w:after="120"/>
        <w:jc w:val="center"/>
        <w:rPr>
          <w:rFonts w:asciiTheme="minorHAnsi" w:hAnsiTheme="minorHAnsi"/>
          <w:b/>
          <w:sz w:val="32"/>
          <w:szCs w:val="32"/>
          <w:u w:val="single"/>
        </w:rPr>
      </w:pPr>
    </w:p>
    <w:p w14:paraId="795779A3" w14:textId="2BE255A5" w:rsidR="00684193" w:rsidRPr="00177980" w:rsidRDefault="00684193" w:rsidP="00EA78CB">
      <w:pPr>
        <w:spacing w:after="120"/>
        <w:jc w:val="center"/>
        <w:rPr>
          <w:rFonts w:asciiTheme="minorHAnsi" w:hAnsiTheme="minorHAnsi"/>
          <w:b/>
          <w:sz w:val="32"/>
          <w:szCs w:val="32"/>
          <w:u w:val="single"/>
        </w:rPr>
      </w:pPr>
    </w:p>
    <w:p w14:paraId="24FC5AB5" w14:textId="00309B56" w:rsidR="00684193" w:rsidRPr="00177980" w:rsidRDefault="00684193" w:rsidP="00EA78CB">
      <w:pPr>
        <w:spacing w:after="120"/>
        <w:jc w:val="center"/>
        <w:rPr>
          <w:rFonts w:asciiTheme="minorHAnsi" w:hAnsiTheme="minorHAnsi"/>
          <w:b/>
          <w:sz w:val="32"/>
          <w:szCs w:val="32"/>
          <w:u w:val="single"/>
        </w:rPr>
      </w:pPr>
    </w:p>
    <w:p w14:paraId="63C3F3F4" w14:textId="6F72BCF1" w:rsidR="00684193" w:rsidRPr="00177980" w:rsidRDefault="00684193" w:rsidP="00EA78CB">
      <w:pPr>
        <w:spacing w:after="120"/>
        <w:jc w:val="center"/>
        <w:rPr>
          <w:rFonts w:asciiTheme="minorHAnsi" w:hAnsiTheme="minorHAnsi"/>
          <w:b/>
          <w:sz w:val="32"/>
          <w:szCs w:val="32"/>
          <w:u w:val="single"/>
        </w:rPr>
      </w:pPr>
    </w:p>
    <w:p w14:paraId="1FC767F5" w14:textId="77777777" w:rsidR="00684193" w:rsidRPr="00177980" w:rsidRDefault="00684193" w:rsidP="00EA78CB">
      <w:pPr>
        <w:spacing w:after="120"/>
        <w:jc w:val="center"/>
        <w:rPr>
          <w:rFonts w:asciiTheme="minorHAnsi" w:hAnsiTheme="minorHAnsi"/>
          <w:b/>
          <w:sz w:val="32"/>
          <w:szCs w:val="32"/>
          <w:u w:val="single"/>
        </w:rPr>
      </w:pPr>
    </w:p>
    <w:p w14:paraId="46190918" w14:textId="497EC4BF" w:rsidR="00684193" w:rsidRPr="00177980" w:rsidRDefault="00684193" w:rsidP="00EA78CB">
      <w:pPr>
        <w:spacing w:after="120"/>
        <w:jc w:val="center"/>
        <w:rPr>
          <w:rFonts w:asciiTheme="minorHAnsi" w:hAnsiTheme="minorHAnsi"/>
          <w:b/>
          <w:sz w:val="32"/>
          <w:szCs w:val="32"/>
          <w:u w:val="single"/>
        </w:rPr>
      </w:pPr>
    </w:p>
    <w:p w14:paraId="1F4EA3DD" w14:textId="74565BF5" w:rsidR="00684193" w:rsidRPr="00177980" w:rsidRDefault="00684193" w:rsidP="00EA78CB">
      <w:pPr>
        <w:spacing w:after="120"/>
        <w:jc w:val="center"/>
        <w:rPr>
          <w:rFonts w:asciiTheme="minorHAnsi" w:hAnsiTheme="minorHAnsi"/>
          <w:sz w:val="28"/>
          <w:szCs w:val="28"/>
        </w:rPr>
      </w:pPr>
      <w:r w:rsidRPr="00177980">
        <w:rPr>
          <w:rFonts w:asciiTheme="minorHAnsi" w:hAnsiTheme="minorHAnsi"/>
          <w:sz w:val="28"/>
          <w:szCs w:val="28"/>
        </w:rPr>
        <w:t>Lola Institute Belgrade</w:t>
      </w:r>
    </w:p>
    <w:p w14:paraId="0862AD15" w14:textId="524882F0" w:rsidR="00684193" w:rsidRPr="00177980" w:rsidRDefault="00684193" w:rsidP="00EA78CB">
      <w:pPr>
        <w:spacing w:after="120"/>
        <w:jc w:val="center"/>
        <w:rPr>
          <w:rFonts w:asciiTheme="minorHAnsi" w:hAnsiTheme="minorHAnsi"/>
          <w:sz w:val="28"/>
          <w:szCs w:val="28"/>
        </w:rPr>
      </w:pPr>
      <w:r w:rsidRPr="00177980">
        <w:rPr>
          <w:rFonts w:asciiTheme="minorHAnsi" w:hAnsiTheme="minorHAnsi"/>
          <w:sz w:val="28"/>
          <w:szCs w:val="28"/>
        </w:rPr>
        <w:t>October, 2025</w:t>
      </w:r>
      <w:r w:rsidR="0024572E">
        <w:rPr>
          <w:rFonts w:asciiTheme="minorHAnsi" w:hAnsiTheme="minorHAnsi"/>
          <w:sz w:val="28"/>
          <w:szCs w:val="28"/>
        </w:rPr>
        <w:t>.</w:t>
      </w:r>
    </w:p>
    <w:p w14:paraId="0B2BF8C1" w14:textId="463CE66B" w:rsidR="00684193" w:rsidRPr="00177980" w:rsidRDefault="00684193" w:rsidP="00EA78CB">
      <w:pPr>
        <w:spacing w:after="120"/>
        <w:jc w:val="center"/>
        <w:rPr>
          <w:rFonts w:asciiTheme="minorHAnsi" w:hAnsiTheme="minorHAnsi"/>
          <w:b/>
          <w:color w:val="000080"/>
          <w:sz w:val="28"/>
          <w:szCs w:val="28"/>
        </w:rPr>
      </w:pPr>
    </w:p>
    <w:p w14:paraId="1D90263C" w14:textId="77777777" w:rsidR="00684193" w:rsidRPr="00177980" w:rsidRDefault="00684193" w:rsidP="00EA78CB">
      <w:pPr>
        <w:pStyle w:val="TOCHeading"/>
        <w:spacing w:after="120"/>
        <w:rPr>
          <w:rFonts w:asciiTheme="minorHAnsi" w:hAnsiTheme="minorHAnsi"/>
        </w:rPr>
      </w:pPr>
      <w:r w:rsidRPr="00177980">
        <w:rPr>
          <w:rFonts w:asciiTheme="minorHAnsi" w:hAnsiTheme="minorHAnsi"/>
        </w:rPr>
        <w:br w:type="page"/>
      </w:r>
    </w:p>
    <w:sdt>
      <w:sdtPr>
        <w:id w:val="472725780"/>
        <w:docPartObj>
          <w:docPartGallery w:val="Table of Contents"/>
          <w:docPartUnique/>
        </w:docPartObj>
      </w:sdtPr>
      <w:sdtEndPr>
        <w:rPr>
          <w:b/>
          <w:bCs/>
          <w:noProof/>
        </w:rPr>
      </w:sdtEndPr>
      <w:sdtContent>
        <w:p w14:paraId="1B10815D" w14:textId="74D4AA24" w:rsidR="00684193" w:rsidRPr="00C606A1" w:rsidRDefault="00684193" w:rsidP="00EA78CB">
          <w:pPr>
            <w:spacing w:after="120"/>
            <w:rPr>
              <w:b/>
              <w:color w:val="44546A" w:themeColor="text2"/>
              <w:sz w:val="24"/>
              <w:szCs w:val="24"/>
            </w:rPr>
          </w:pPr>
          <w:r w:rsidRPr="00C606A1">
            <w:rPr>
              <w:b/>
              <w:color w:val="44546A" w:themeColor="text2"/>
              <w:sz w:val="24"/>
              <w:szCs w:val="24"/>
            </w:rPr>
            <w:t>Contents</w:t>
          </w:r>
        </w:p>
        <w:p w14:paraId="726AFB6F" w14:textId="4A5948A5" w:rsidR="00C606A1" w:rsidRPr="00C606A1" w:rsidRDefault="00684193">
          <w:pPr>
            <w:pStyle w:val="TOC1"/>
            <w:tabs>
              <w:tab w:val="left" w:pos="400"/>
              <w:tab w:val="right" w:leader="dot" w:pos="9182"/>
            </w:tabs>
            <w:rPr>
              <w:rFonts w:eastAsiaTheme="minorEastAsia" w:cstheme="minorBidi"/>
              <w:b w:val="0"/>
              <w:bCs w:val="0"/>
              <w:caps w:val="0"/>
              <w:noProof/>
              <w:color w:val="44546A" w:themeColor="text2"/>
              <w:sz w:val="22"/>
              <w:szCs w:val="22"/>
              <w:lang w:val="en-US"/>
            </w:rPr>
          </w:pPr>
          <w:r w:rsidRPr="00C606A1">
            <w:rPr>
              <w:color w:val="44546A" w:themeColor="text2"/>
            </w:rPr>
            <w:fldChar w:fldCharType="begin"/>
          </w:r>
          <w:r w:rsidRPr="00C606A1">
            <w:rPr>
              <w:color w:val="44546A" w:themeColor="text2"/>
            </w:rPr>
            <w:instrText xml:space="preserve"> TOC \o "1-3" \h \z \u </w:instrText>
          </w:r>
          <w:r w:rsidRPr="00C606A1">
            <w:rPr>
              <w:color w:val="44546A" w:themeColor="text2"/>
            </w:rPr>
            <w:fldChar w:fldCharType="separate"/>
          </w:r>
          <w:hyperlink w:anchor="_Toc212336500" w:history="1">
            <w:r w:rsidR="00C606A1" w:rsidRPr="00C606A1">
              <w:rPr>
                <w:rStyle w:val="Hyperlink"/>
                <w:noProof/>
                <w:color w:val="44546A" w:themeColor="text2"/>
              </w:rPr>
              <w:t>1.</w:t>
            </w:r>
            <w:r w:rsidR="00C606A1" w:rsidRPr="00C606A1">
              <w:rPr>
                <w:rFonts w:eastAsiaTheme="minorEastAsia" w:cstheme="minorBidi"/>
                <w:b w:val="0"/>
                <w:bCs w:val="0"/>
                <w:caps w:val="0"/>
                <w:noProof/>
                <w:color w:val="44546A" w:themeColor="text2"/>
                <w:sz w:val="22"/>
                <w:szCs w:val="22"/>
                <w:lang w:val="en-US"/>
              </w:rPr>
              <w:tab/>
            </w:r>
            <w:r w:rsidR="00C606A1" w:rsidRPr="00C606A1">
              <w:rPr>
                <w:rStyle w:val="Hyperlink"/>
                <w:noProof/>
                <w:color w:val="44546A" w:themeColor="text2"/>
                <w:lang w:val="en-US"/>
              </w:rPr>
              <w:t>Executive Summary</w:t>
            </w:r>
            <w:r w:rsidR="00C606A1" w:rsidRPr="00C606A1">
              <w:rPr>
                <w:noProof/>
                <w:webHidden/>
                <w:color w:val="44546A" w:themeColor="text2"/>
              </w:rPr>
              <w:tab/>
            </w:r>
            <w:r w:rsidR="00C606A1" w:rsidRPr="00C606A1">
              <w:rPr>
                <w:noProof/>
                <w:webHidden/>
                <w:color w:val="44546A" w:themeColor="text2"/>
              </w:rPr>
              <w:fldChar w:fldCharType="begin"/>
            </w:r>
            <w:r w:rsidR="00C606A1" w:rsidRPr="00C606A1">
              <w:rPr>
                <w:noProof/>
                <w:webHidden/>
                <w:color w:val="44546A" w:themeColor="text2"/>
              </w:rPr>
              <w:instrText xml:space="preserve"> PAGEREF _Toc212336500 \h </w:instrText>
            </w:r>
            <w:r w:rsidR="00C606A1" w:rsidRPr="00C606A1">
              <w:rPr>
                <w:noProof/>
                <w:webHidden/>
                <w:color w:val="44546A" w:themeColor="text2"/>
              </w:rPr>
            </w:r>
            <w:r w:rsidR="00C606A1" w:rsidRPr="00C606A1">
              <w:rPr>
                <w:noProof/>
                <w:webHidden/>
                <w:color w:val="44546A" w:themeColor="text2"/>
              </w:rPr>
              <w:fldChar w:fldCharType="separate"/>
            </w:r>
            <w:r w:rsidR="00C606A1" w:rsidRPr="00C606A1">
              <w:rPr>
                <w:noProof/>
                <w:webHidden/>
                <w:color w:val="44546A" w:themeColor="text2"/>
              </w:rPr>
              <w:t>3</w:t>
            </w:r>
            <w:r w:rsidR="00C606A1" w:rsidRPr="00C606A1">
              <w:rPr>
                <w:noProof/>
                <w:webHidden/>
                <w:color w:val="44546A" w:themeColor="text2"/>
              </w:rPr>
              <w:fldChar w:fldCharType="end"/>
            </w:r>
          </w:hyperlink>
        </w:p>
        <w:p w14:paraId="0D3CBB6D" w14:textId="73E339F1" w:rsidR="00C606A1" w:rsidRPr="00C606A1" w:rsidRDefault="000F25D9">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336501" w:history="1">
            <w:r w:rsidR="00C606A1" w:rsidRPr="00C606A1">
              <w:rPr>
                <w:rStyle w:val="Hyperlink"/>
                <w:noProof/>
                <w:color w:val="44546A" w:themeColor="text2"/>
              </w:rPr>
              <w:t>2.</w:t>
            </w:r>
            <w:r w:rsidR="00C606A1" w:rsidRPr="00C606A1">
              <w:rPr>
                <w:rFonts w:eastAsiaTheme="minorEastAsia" w:cstheme="minorBidi"/>
                <w:b w:val="0"/>
                <w:bCs w:val="0"/>
                <w:caps w:val="0"/>
                <w:noProof/>
                <w:color w:val="44546A" w:themeColor="text2"/>
                <w:sz w:val="22"/>
                <w:szCs w:val="22"/>
                <w:lang w:val="en-US"/>
              </w:rPr>
              <w:tab/>
            </w:r>
            <w:r w:rsidR="00C606A1" w:rsidRPr="00C606A1">
              <w:rPr>
                <w:rStyle w:val="Hyperlink"/>
                <w:noProof/>
                <w:color w:val="44546A" w:themeColor="text2"/>
              </w:rPr>
              <w:t>Introduction</w:t>
            </w:r>
            <w:r w:rsidR="00C606A1" w:rsidRPr="00C606A1">
              <w:rPr>
                <w:noProof/>
                <w:webHidden/>
                <w:color w:val="44546A" w:themeColor="text2"/>
              </w:rPr>
              <w:tab/>
            </w:r>
            <w:r w:rsidR="00C606A1" w:rsidRPr="00C606A1">
              <w:rPr>
                <w:noProof/>
                <w:webHidden/>
                <w:color w:val="44546A" w:themeColor="text2"/>
              </w:rPr>
              <w:fldChar w:fldCharType="begin"/>
            </w:r>
            <w:r w:rsidR="00C606A1" w:rsidRPr="00C606A1">
              <w:rPr>
                <w:noProof/>
                <w:webHidden/>
                <w:color w:val="44546A" w:themeColor="text2"/>
              </w:rPr>
              <w:instrText xml:space="preserve"> PAGEREF _Toc212336501 \h </w:instrText>
            </w:r>
            <w:r w:rsidR="00C606A1" w:rsidRPr="00C606A1">
              <w:rPr>
                <w:noProof/>
                <w:webHidden/>
                <w:color w:val="44546A" w:themeColor="text2"/>
              </w:rPr>
            </w:r>
            <w:r w:rsidR="00C606A1" w:rsidRPr="00C606A1">
              <w:rPr>
                <w:noProof/>
                <w:webHidden/>
                <w:color w:val="44546A" w:themeColor="text2"/>
              </w:rPr>
              <w:fldChar w:fldCharType="separate"/>
            </w:r>
            <w:r w:rsidR="00C606A1" w:rsidRPr="00C606A1">
              <w:rPr>
                <w:noProof/>
                <w:webHidden/>
                <w:color w:val="44546A" w:themeColor="text2"/>
              </w:rPr>
              <w:t>3</w:t>
            </w:r>
            <w:r w:rsidR="00C606A1" w:rsidRPr="00C606A1">
              <w:rPr>
                <w:noProof/>
                <w:webHidden/>
                <w:color w:val="44546A" w:themeColor="text2"/>
              </w:rPr>
              <w:fldChar w:fldCharType="end"/>
            </w:r>
          </w:hyperlink>
        </w:p>
        <w:p w14:paraId="6DEEFFDD" w14:textId="03FD24CB" w:rsidR="00C606A1" w:rsidRPr="00C606A1" w:rsidRDefault="000F25D9">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336502" w:history="1">
            <w:r w:rsidR="00C606A1" w:rsidRPr="00C606A1">
              <w:rPr>
                <w:rStyle w:val="Hyperlink"/>
                <w:noProof/>
                <w:color w:val="44546A" w:themeColor="text2"/>
              </w:rPr>
              <w:t>3.</w:t>
            </w:r>
            <w:r w:rsidR="00C606A1" w:rsidRPr="00C606A1">
              <w:rPr>
                <w:rFonts w:eastAsiaTheme="minorEastAsia" w:cstheme="minorBidi"/>
                <w:b w:val="0"/>
                <w:bCs w:val="0"/>
                <w:caps w:val="0"/>
                <w:noProof/>
                <w:color w:val="44546A" w:themeColor="text2"/>
                <w:sz w:val="22"/>
                <w:szCs w:val="22"/>
                <w:lang w:val="en-US"/>
              </w:rPr>
              <w:tab/>
            </w:r>
            <w:r w:rsidR="00C606A1" w:rsidRPr="00C606A1">
              <w:rPr>
                <w:rStyle w:val="Hyperlink"/>
                <w:noProof/>
                <w:color w:val="44546A" w:themeColor="text2"/>
              </w:rPr>
              <w:t>Current State and Challenges in Predictive Maintenance</w:t>
            </w:r>
            <w:r w:rsidR="00C606A1" w:rsidRPr="00C606A1">
              <w:rPr>
                <w:noProof/>
                <w:webHidden/>
                <w:color w:val="44546A" w:themeColor="text2"/>
              </w:rPr>
              <w:tab/>
            </w:r>
            <w:r w:rsidR="00C606A1" w:rsidRPr="00C606A1">
              <w:rPr>
                <w:noProof/>
                <w:webHidden/>
                <w:color w:val="44546A" w:themeColor="text2"/>
              </w:rPr>
              <w:fldChar w:fldCharType="begin"/>
            </w:r>
            <w:r w:rsidR="00C606A1" w:rsidRPr="00C606A1">
              <w:rPr>
                <w:noProof/>
                <w:webHidden/>
                <w:color w:val="44546A" w:themeColor="text2"/>
              </w:rPr>
              <w:instrText xml:space="preserve"> PAGEREF _Toc212336502 \h </w:instrText>
            </w:r>
            <w:r w:rsidR="00C606A1" w:rsidRPr="00C606A1">
              <w:rPr>
                <w:noProof/>
                <w:webHidden/>
                <w:color w:val="44546A" w:themeColor="text2"/>
              </w:rPr>
            </w:r>
            <w:r w:rsidR="00C606A1" w:rsidRPr="00C606A1">
              <w:rPr>
                <w:noProof/>
                <w:webHidden/>
                <w:color w:val="44546A" w:themeColor="text2"/>
              </w:rPr>
              <w:fldChar w:fldCharType="separate"/>
            </w:r>
            <w:r w:rsidR="00C606A1" w:rsidRPr="00C606A1">
              <w:rPr>
                <w:noProof/>
                <w:webHidden/>
                <w:color w:val="44546A" w:themeColor="text2"/>
              </w:rPr>
              <w:t>4</w:t>
            </w:r>
            <w:r w:rsidR="00C606A1" w:rsidRPr="00C606A1">
              <w:rPr>
                <w:noProof/>
                <w:webHidden/>
                <w:color w:val="44546A" w:themeColor="text2"/>
              </w:rPr>
              <w:fldChar w:fldCharType="end"/>
            </w:r>
          </w:hyperlink>
        </w:p>
        <w:p w14:paraId="04DAB521" w14:textId="773C8426" w:rsidR="00C606A1" w:rsidRPr="00C606A1" w:rsidRDefault="000F25D9">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336503" w:history="1">
            <w:r w:rsidR="00C606A1" w:rsidRPr="00C606A1">
              <w:rPr>
                <w:rStyle w:val="Hyperlink"/>
                <w:noProof/>
                <w:color w:val="44546A" w:themeColor="text2"/>
              </w:rPr>
              <w:t>4.</w:t>
            </w:r>
            <w:r w:rsidR="00C606A1" w:rsidRPr="00C606A1">
              <w:rPr>
                <w:rFonts w:eastAsiaTheme="minorEastAsia" w:cstheme="minorBidi"/>
                <w:b w:val="0"/>
                <w:bCs w:val="0"/>
                <w:caps w:val="0"/>
                <w:noProof/>
                <w:color w:val="44546A" w:themeColor="text2"/>
                <w:sz w:val="22"/>
                <w:szCs w:val="22"/>
                <w:lang w:val="en-US"/>
              </w:rPr>
              <w:tab/>
            </w:r>
            <w:r w:rsidR="00C606A1" w:rsidRPr="00C606A1">
              <w:rPr>
                <w:rStyle w:val="Hyperlink"/>
                <w:noProof/>
                <w:color w:val="44546A" w:themeColor="text2"/>
              </w:rPr>
              <w:t>Deep Tech Applications in PdM</w:t>
            </w:r>
            <w:r w:rsidR="00C606A1" w:rsidRPr="00C606A1">
              <w:rPr>
                <w:noProof/>
                <w:webHidden/>
                <w:color w:val="44546A" w:themeColor="text2"/>
              </w:rPr>
              <w:tab/>
            </w:r>
            <w:r w:rsidR="00C606A1" w:rsidRPr="00C606A1">
              <w:rPr>
                <w:noProof/>
                <w:webHidden/>
                <w:color w:val="44546A" w:themeColor="text2"/>
              </w:rPr>
              <w:fldChar w:fldCharType="begin"/>
            </w:r>
            <w:r w:rsidR="00C606A1" w:rsidRPr="00C606A1">
              <w:rPr>
                <w:noProof/>
                <w:webHidden/>
                <w:color w:val="44546A" w:themeColor="text2"/>
              </w:rPr>
              <w:instrText xml:space="preserve"> PAGEREF _Toc212336503 \h </w:instrText>
            </w:r>
            <w:r w:rsidR="00C606A1" w:rsidRPr="00C606A1">
              <w:rPr>
                <w:noProof/>
                <w:webHidden/>
                <w:color w:val="44546A" w:themeColor="text2"/>
              </w:rPr>
            </w:r>
            <w:r w:rsidR="00C606A1" w:rsidRPr="00C606A1">
              <w:rPr>
                <w:noProof/>
                <w:webHidden/>
                <w:color w:val="44546A" w:themeColor="text2"/>
              </w:rPr>
              <w:fldChar w:fldCharType="separate"/>
            </w:r>
            <w:r w:rsidR="00C606A1" w:rsidRPr="00C606A1">
              <w:rPr>
                <w:noProof/>
                <w:webHidden/>
                <w:color w:val="44546A" w:themeColor="text2"/>
              </w:rPr>
              <w:t>5</w:t>
            </w:r>
            <w:r w:rsidR="00C606A1" w:rsidRPr="00C606A1">
              <w:rPr>
                <w:noProof/>
                <w:webHidden/>
                <w:color w:val="44546A" w:themeColor="text2"/>
              </w:rPr>
              <w:fldChar w:fldCharType="end"/>
            </w:r>
          </w:hyperlink>
        </w:p>
        <w:p w14:paraId="55635F92" w14:textId="43E70F75" w:rsidR="00C606A1" w:rsidRPr="00C606A1" w:rsidRDefault="000F25D9">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336504" w:history="1">
            <w:r w:rsidR="00C606A1" w:rsidRPr="00C606A1">
              <w:rPr>
                <w:rStyle w:val="Hyperlink"/>
                <w:noProof/>
                <w:color w:val="44546A" w:themeColor="text2"/>
              </w:rPr>
              <w:t>5.</w:t>
            </w:r>
            <w:r w:rsidR="00C606A1" w:rsidRPr="00C606A1">
              <w:rPr>
                <w:rFonts w:eastAsiaTheme="minorEastAsia" w:cstheme="minorBidi"/>
                <w:b w:val="0"/>
                <w:bCs w:val="0"/>
                <w:caps w:val="0"/>
                <w:noProof/>
                <w:color w:val="44546A" w:themeColor="text2"/>
                <w:sz w:val="22"/>
                <w:szCs w:val="22"/>
                <w:lang w:val="en-US"/>
              </w:rPr>
              <w:tab/>
            </w:r>
            <w:r w:rsidR="00C606A1" w:rsidRPr="00C606A1">
              <w:rPr>
                <w:rStyle w:val="Hyperlink"/>
                <w:noProof/>
                <w:color w:val="44546A" w:themeColor="text2"/>
              </w:rPr>
              <w:t>Environmental and Social Impact</w:t>
            </w:r>
            <w:r w:rsidR="00C606A1" w:rsidRPr="00C606A1">
              <w:rPr>
                <w:noProof/>
                <w:webHidden/>
                <w:color w:val="44546A" w:themeColor="text2"/>
              </w:rPr>
              <w:tab/>
            </w:r>
            <w:r w:rsidR="00C606A1" w:rsidRPr="00C606A1">
              <w:rPr>
                <w:noProof/>
                <w:webHidden/>
                <w:color w:val="44546A" w:themeColor="text2"/>
              </w:rPr>
              <w:fldChar w:fldCharType="begin"/>
            </w:r>
            <w:r w:rsidR="00C606A1" w:rsidRPr="00C606A1">
              <w:rPr>
                <w:noProof/>
                <w:webHidden/>
                <w:color w:val="44546A" w:themeColor="text2"/>
              </w:rPr>
              <w:instrText xml:space="preserve"> PAGEREF _Toc212336504 \h </w:instrText>
            </w:r>
            <w:r w:rsidR="00C606A1" w:rsidRPr="00C606A1">
              <w:rPr>
                <w:noProof/>
                <w:webHidden/>
                <w:color w:val="44546A" w:themeColor="text2"/>
              </w:rPr>
            </w:r>
            <w:r w:rsidR="00C606A1" w:rsidRPr="00C606A1">
              <w:rPr>
                <w:noProof/>
                <w:webHidden/>
                <w:color w:val="44546A" w:themeColor="text2"/>
              </w:rPr>
              <w:fldChar w:fldCharType="separate"/>
            </w:r>
            <w:r w:rsidR="00C606A1" w:rsidRPr="00C606A1">
              <w:rPr>
                <w:noProof/>
                <w:webHidden/>
                <w:color w:val="44546A" w:themeColor="text2"/>
              </w:rPr>
              <w:t>7</w:t>
            </w:r>
            <w:r w:rsidR="00C606A1" w:rsidRPr="00C606A1">
              <w:rPr>
                <w:noProof/>
                <w:webHidden/>
                <w:color w:val="44546A" w:themeColor="text2"/>
              </w:rPr>
              <w:fldChar w:fldCharType="end"/>
            </w:r>
          </w:hyperlink>
        </w:p>
        <w:p w14:paraId="605640CC" w14:textId="313A10A8" w:rsidR="00C606A1" w:rsidRPr="00C606A1" w:rsidRDefault="000F25D9">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336505" w:history="1">
            <w:r w:rsidR="00C606A1" w:rsidRPr="00C606A1">
              <w:rPr>
                <w:rStyle w:val="Hyperlink"/>
                <w:noProof/>
                <w:color w:val="44546A" w:themeColor="text2"/>
              </w:rPr>
              <w:t>6.</w:t>
            </w:r>
            <w:r w:rsidR="00C606A1" w:rsidRPr="00C606A1">
              <w:rPr>
                <w:rFonts w:eastAsiaTheme="minorEastAsia" w:cstheme="minorBidi"/>
                <w:b w:val="0"/>
                <w:bCs w:val="0"/>
                <w:caps w:val="0"/>
                <w:noProof/>
                <w:color w:val="44546A" w:themeColor="text2"/>
                <w:sz w:val="22"/>
                <w:szCs w:val="22"/>
                <w:lang w:val="en-US"/>
              </w:rPr>
              <w:tab/>
            </w:r>
            <w:r w:rsidR="00C606A1" w:rsidRPr="00C606A1">
              <w:rPr>
                <w:rStyle w:val="Hyperlink"/>
                <w:noProof/>
                <w:color w:val="44546A" w:themeColor="text2"/>
              </w:rPr>
              <w:t>Barriers and Policy Gaps</w:t>
            </w:r>
            <w:r w:rsidR="00C606A1" w:rsidRPr="00C606A1">
              <w:rPr>
                <w:noProof/>
                <w:webHidden/>
                <w:color w:val="44546A" w:themeColor="text2"/>
              </w:rPr>
              <w:tab/>
            </w:r>
            <w:r w:rsidR="00C606A1" w:rsidRPr="00C606A1">
              <w:rPr>
                <w:noProof/>
                <w:webHidden/>
                <w:color w:val="44546A" w:themeColor="text2"/>
              </w:rPr>
              <w:fldChar w:fldCharType="begin"/>
            </w:r>
            <w:r w:rsidR="00C606A1" w:rsidRPr="00C606A1">
              <w:rPr>
                <w:noProof/>
                <w:webHidden/>
                <w:color w:val="44546A" w:themeColor="text2"/>
              </w:rPr>
              <w:instrText xml:space="preserve"> PAGEREF _Toc212336505 \h </w:instrText>
            </w:r>
            <w:r w:rsidR="00C606A1" w:rsidRPr="00C606A1">
              <w:rPr>
                <w:noProof/>
                <w:webHidden/>
                <w:color w:val="44546A" w:themeColor="text2"/>
              </w:rPr>
            </w:r>
            <w:r w:rsidR="00C606A1" w:rsidRPr="00C606A1">
              <w:rPr>
                <w:noProof/>
                <w:webHidden/>
                <w:color w:val="44546A" w:themeColor="text2"/>
              </w:rPr>
              <w:fldChar w:fldCharType="separate"/>
            </w:r>
            <w:r w:rsidR="00C606A1" w:rsidRPr="00C606A1">
              <w:rPr>
                <w:noProof/>
                <w:webHidden/>
                <w:color w:val="44546A" w:themeColor="text2"/>
              </w:rPr>
              <w:t>8</w:t>
            </w:r>
            <w:r w:rsidR="00C606A1" w:rsidRPr="00C606A1">
              <w:rPr>
                <w:noProof/>
                <w:webHidden/>
                <w:color w:val="44546A" w:themeColor="text2"/>
              </w:rPr>
              <w:fldChar w:fldCharType="end"/>
            </w:r>
          </w:hyperlink>
        </w:p>
        <w:p w14:paraId="6800CD5D" w14:textId="7EC64267" w:rsidR="00C606A1" w:rsidRPr="00C606A1" w:rsidRDefault="000F25D9">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336506" w:history="1">
            <w:r w:rsidR="00C606A1" w:rsidRPr="00C606A1">
              <w:rPr>
                <w:rStyle w:val="Hyperlink"/>
                <w:noProof/>
                <w:color w:val="44546A" w:themeColor="text2"/>
              </w:rPr>
              <w:t>7.</w:t>
            </w:r>
            <w:r w:rsidR="00C606A1" w:rsidRPr="00C606A1">
              <w:rPr>
                <w:rFonts w:eastAsiaTheme="minorEastAsia" w:cstheme="minorBidi"/>
                <w:b w:val="0"/>
                <w:bCs w:val="0"/>
                <w:caps w:val="0"/>
                <w:noProof/>
                <w:color w:val="44546A" w:themeColor="text2"/>
                <w:sz w:val="22"/>
                <w:szCs w:val="22"/>
                <w:lang w:val="en-US"/>
              </w:rPr>
              <w:tab/>
            </w:r>
            <w:r w:rsidR="00C606A1" w:rsidRPr="00C606A1">
              <w:rPr>
                <w:rStyle w:val="Hyperlink"/>
                <w:noProof/>
                <w:color w:val="44546A" w:themeColor="text2"/>
              </w:rPr>
              <w:t>Policy Recommendations</w:t>
            </w:r>
            <w:r w:rsidR="00C606A1" w:rsidRPr="00C606A1">
              <w:rPr>
                <w:noProof/>
                <w:webHidden/>
                <w:color w:val="44546A" w:themeColor="text2"/>
              </w:rPr>
              <w:tab/>
            </w:r>
            <w:r w:rsidR="00C606A1" w:rsidRPr="00C606A1">
              <w:rPr>
                <w:noProof/>
                <w:webHidden/>
                <w:color w:val="44546A" w:themeColor="text2"/>
              </w:rPr>
              <w:fldChar w:fldCharType="begin"/>
            </w:r>
            <w:r w:rsidR="00C606A1" w:rsidRPr="00C606A1">
              <w:rPr>
                <w:noProof/>
                <w:webHidden/>
                <w:color w:val="44546A" w:themeColor="text2"/>
              </w:rPr>
              <w:instrText xml:space="preserve"> PAGEREF _Toc212336506 \h </w:instrText>
            </w:r>
            <w:r w:rsidR="00C606A1" w:rsidRPr="00C606A1">
              <w:rPr>
                <w:noProof/>
                <w:webHidden/>
                <w:color w:val="44546A" w:themeColor="text2"/>
              </w:rPr>
            </w:r>
            <w:r w:rsidR="00C606A1" w:rsidRPr="00C606A1">
              <w:rPr>
                <w:noProof/>
                <w:webHidden/>
                <w:color w:val="44546A" w:themeColor="text2"/>
              </w:rPr>
              <w:fldChar w:fldCharType="separate"/>
            </w:r>
            <w:r w:rsidR="00C606A1" w:rsidRPr="00C606A1">
              <w:rPr>
                <w:noProof/>
                <w:webHidden/>
                <w:color w:val="44546A" w:themeColor="text2"/>
              </w:rPr>
              <w:t>10</w:t>
            </w:r>
            <w:r w:rsidR="00C606A1" w:rsidRPr="00C606A1">
              <w:rPr>
                <w:noProof/>
                <w:webHidden/>
                <w:color w:val="44546A" w:themeColor="text2"/>
              </w:rPr>
              <w:fldChar w:fldCharType="end"/>
            </w:r>
          </w:hyperlink>
        </w:p>
        <w:p w14:paraId="01D36146" w14:textId="68CFD853" w:rsidR="00C606A1" w:rsidRPr="00C606A1" w:rsidRDefault="000F25D9">
          <w:pPr>
            <w:pStyle w:val="TOC1"/>
            <w:tabs>
              <w:tab w:val="left" w:pos="400"/>
              <w:tab w:val="right" w:leader="dot" w:pos="9182"/>
            </w:tabs>
            <w:rPr>
              <w:rFonts w:eastAsiaTheme="minorEastAsia" w:cstheme="minorBidi"/>
              <w:b w:val="0"/>
              <w:bCs w:val="0"/>
              <w:caps w:val="0"/>
              <w:noProof/>
              <w:color w:val="44546A" w:themeColor="text2"/>
              <w:sz w:val="22"/>
              <w:szCs w:val="22"/>
              <w:lang w:val="en-US"/>
            </w:rPr>
          </w:pPr>
          <w:hyperlink w:anchor="_Toc212336507" w:history="1">
            <w:r w:rsidR="00C606A1" w:rsidRPr="00C606A1">
              <w:rPr>
                <w:rStyle w:val="Hyperlink"/>
                <w:noProof/>
                <w:color w:val="44546A" w:themeColor="text2"/>
              </w:rPr>
              <w:t>8.</w:t>
            </w:r>
            <w:r w:rsidR="00C606A1" w:rsidRPr="00C606A1">
              <w:rPr>
                <w:rFonts w:eastAsiaTheme="minorEastAsia" w:cstheme="minorBidi"/>
                <w:b w:val="0"/>
                <w:bCs w:val="0"/>
                <w:caps w:val="0"/>
                <w:noProof/>
                <w:color w:val="44546A" w:themeColor="text2"/>
                <w:sz w:val="22"/>
                <w:szCs w:val="22"/>
                <w:lang w:val="en-US"/>
              </w:rPr>
              <w:tab/>
            </w:r>
            <w:r w:rsidR="00C606A1" w:rsidRPr="00C606A1">
              <w:rPr>
                <w:rStyle w:val="Hyperlink"/>
                <w:noProof/>
                <w:color w:val="44546A" w:themeColor="text2"/>
              </w:rPr>
              <w:t>Conclusion</w:t>
            </w:r>
            <w:r w:rsidR="00C606A1" w:rsidRPr="00C606A1">
              <w:rPr>
                <w:noProof/>
                <w:webHidden/>
                <w:color w:val="44546A" w:themeColor="text2"/>
              </w:rPr>
              <w:tab/>
            </w:r>
            <w:r w:rsidR="00C606A1" w:rsidRPr="00C606A1">
              <w:rPr>
                <w:noProof/>
                <w:webHidden/>
                <w:color w:val="44546A" w:themeColor="text2"/>
              </w:rPr>
              <w:fldChar w:fldCharType="begin"/>
            </w:r>
            <w:r w:rsidR="00C606A1" w:rsidRPr="00C606A1">
              <w:rPr>
                <w:noProof/>
                <w:webHidden/>
                <w:color w:val="44546A" w:themeColor="text2"/>
              </w:rPr>
              <w:instrText xml:space="preserve"> PAGEREF _Toc212336507 \h </w:instrText>
            </w:r>
            <w:r w:rsidR="00C606A1" w:rsidRPr="00C606A1">
              <w:rPr>
                <w:noProof/>
                <w:webHidden/>
                <w:color w:val="44546A" w:themeColor="text2"/>
              </w:rPr>
            </w:r>
            <w:r w:rsidR="00C606A1" w:rsidRPr="00C606A1">
              <w:rPr>
                <w:noProof/>
                <w:webHidden/>
                <w:color w:val="44546A" w:themeColor="text2"/>
              </w:rPr>
              <w:fldChar w:fldCharType="separate"/>
            </w:r>
            <w:r w:rsidR="00C606A1" w:rsidRPr="00C606A1">
              <w:rPr>
                <w:noProof/>
                <w:webHidden/>
                <w:color w:val="44546A" w:themeColor="text2"/>
              </w:rPr>
              <w:t>11</w:t>
            </w:r>
            <w:r w:rsidR="00C606A1" w:rsidRPr="00C606A1">
              <w:rPr>
                <w:noProof/>
                <w:webHidden/>
                <w:color w:val="44546A" w:themeColor="text2"/>
              </w:rPr>
              <w:fldChar w:fldCharType="end"/>
            </w:r>
          </w:hyperlink>
        </w:p>
        <w:p w14:paraId="254770E8" w14:textId="14E07024" w:rsidR="00C606A1" w:rsidRPr="00C606A1" w:rsidRDefault="000F25D9">
          <w:pPr>
            <w:pStyle w:val="TOC1"/>
            <w:tabs>
              <w:tab w:val="right" w:leader="dot" w:pos="9182"/>
            </w:tabs>
            <w:rPr>
              <w:rFonts w:eastAsiaTheme="minorEastAsia" w:cstheme="minorBidi"/>
              <w:b w:val="0"/>
              <w:bCs w:val="0"/>
              <w:caps w:val="0"/>
              <w:noProof/>
              <w:color w:val="44546A" w:themeColor="text2"/>
              <w:sz w:val="22"/>
              <w:szCs w:val="22"/>
              <w:lang w:val="en-US"/>
            </w:rPr>
          </w:pPr>
          <w:hyperlink w:anchor="_Toc212336508" w:history="1">
            <w:r w:rsidR="00C606A1" w:rsidRPr="00C606A1">
              <w:rPr>
                <w:rStyle w:val="Hyperlink"/>
                <w:noProof/>
                <w:color w:val="44546A" w:themeColor="text2"/>
              </w:rPr>
              <w:t>References</w:t>
            </w:r>
            <w:r w:rsidR="00C606A1" w:rsidRPr="00C606A1">
              <w:rPr>
                <w:noProof/>
                <w:webHidden/>
                <w:color w:val="44546A" w:themeColor="text2"/>
              </w:rPr>
              <w:tab/>
            </w:r>
            <w:r w:rsidR="00C606A1" w:rsidRPr="00C606A1">
              <w:rPr>
                <w:noProof/>
                <w:webHidden/>
                <w:color w:val="44546A" w:themeColor="text2"/>
              </w:rPr>
              <w:fldChar w:fldCharType="begin"/>
            </w:r>
            <w:r w:rsidR="00C606A1" w:rsidRPr="00C606A1">
              <w:rPr>
                <w:noProof/>
                <w:webHidden/>
                <w:color w:val="44546A" w:themeColor="text2"/>
              </w:rPr>
              <w:instrText xml:space="preserve"> PAGEREF _Toc212336508 \h </w:instrText>
            </w:r>
            <w:r w:rsidR="00C606A1" w:rsidRPr="00C606A1">
              <w:rPr>
                <w:noProof/>
                <w:webHidden/>
                <w:color w:val="44546A" w:themeColor="text2"/>
              </w:rPr>
            </w:r>
            <w:r w:rsidR="00C606A1" w:rsidRPr="00C606A1">
              <w:rPr>
                <w:noProof/>
                <w:webHidden/>
                <w:color w:val="44546A" w:themeColor="text2"/>
              </w:rPr>
              <w:fldChar w:fldCharType="separate"/>
            </w:r>
            <w:r w:rsidR="00C606A1" w:rsidRPr="00C606A1">
              <w:rPr>
                <w:noProof/>
                <w:webHidden/>
                <w:color w:val="44546A" w:themeColor="text2"/>
              </w:rPr>
              <w:t>11</w:t>
            </w:r>
            <w:r w:rsidR="00C606A1" w:rsidRPr="00C606A1">
              <w:rPr>
                <w:noProof/>
                <w:webHidden/>
                <w:color w:val="44546A" w:themeColor="text2"/>
              </w:rPr>
              <w:fldChar w:fldCharType="end"/>
            </w:r>
          </w:hyperlink>
        </w:p>
        <w:p w14:paraId="633F8D5F" w14:textId="64823653" w:rsidR="00684193" w:rsidRDefault="00684193" w:rsidP="00EA78CB">
          <w:pPr>
            <w:spacing w:after="120"/>
          </w:pPr>
          <w:r w:rsidRPr="00C606A1">
            <w:rPr>
              <w:b/>
              <w:bCs/>
              <w:noProof/>
              <w:color w:val="44546A" w:themeColor="text2"/>
            </w:rPr>
            <w:fldChar w:fldCharType="end"/>
          </w:r>
        </w:p>
      </w:sdtContent>
    </w:sdt>
    <w:p w14:paraId="307C81FB" w14:textId="70FD5A05" w:rsidR="00177980" w:rsidRDefault="00177980" w:rsidP="00EA78CB">
      <w:pPr>
        <w:spacing w:after="120"/>
        <w:rPr>
          <w:rFonts w:ascii="Trebuchet MS" w:hAnsi="Trebuchet MS"/>
          <w:sz w:val="28"/>
          <w:szCs w:val="28"/>
        </w:rPr>
      </w:pPr>
      <w:r>
        <w:rPr>
          <w:rFonts w:ascii="Trebuchet MS" w:hAnsi="Trebuchet MS"/>
          <w:sz w:val="28"/>
          <w:szCs w:val="28"/>
        </w:rPr>
        <w:br w:type="page"/>
      </w:r>
    </w:p>
    <w:p w14:paraId="427358B1" w14:textId="77777777" w:rsidR="00684193" w:rsidRDefault="00684193" w:rsidP="00EA78CB">
      <w:pPr>
        <w:spacing w:after="120"/>
        <w:rPr>
          <w:rFonts w:ascii="Trebuchet MS" w:hAnsi="Trebuchet MS"/>
          <w:sz w:val="28"/>
          <w:szCs w:val="28"/>
        </w:rPr>
      </w:pPr>
    </w:p>
    <w:p w14:paraId="666B7448" w14:textId="77777777" w:rsidR="00684193" w:rsidRPr="0042269F" w:rsidRDefault="00684193" w:rsidP="00EA78CB">
      <w:pPr>
        <w:spacing w:after="120"/>
        <w:jc w:val="center"/>
        <w:rPr>
          <w:rFonts w:ascii="Trebuchet MS" w:hAnsi="Trebuchet MS"/>
          <w:sz w:val="28"/>
          <w:szCs w:val="28"/>
        </w:rPr>
      </w:pPr>
    </w:p>
    <w:p w14:paraId="39AD66DF" w14:textId="607235B3" w:rsidR="00306134" w:rsidRDefault="00306134" w:rsidP="00EA78CB">
      <w:pPr>
        <w:autoSpaceDE w:val="0"/>
        <w:autoSpaceDN w:val="0"/>
        <w:adjustRightInd w:val="0"/>
        <w:spacing w:after="120"/>
        <w:rPr>
          <w:rFonts w:ascii="Arial" w:hAnsi="Arial"/>
          <w:b/>
          <w:sz w:val="21"/>
          <w:szCs w:val="21"/>
        </w:rPr>
      </w:pPr>
    </w:p>
    <w:p w14:paraId="729F075A" w14:textId="5E6B0C91" w:rsidR="00684193" w:rsidRPr="00684193" w:rsidRDefault="00684193" w:rsidP="00EA78CB">
      <w:pPr>
        <w:pStyle w:val="ListParagraph"/>
        <w:numPr>
          <w:ilvl w:val="0"/>
          <w:numId w:val="15"/>
        </w:numPr>
        <w:spacing w:before="480" w:after="120"/>
        <w:jc w:val="both"/>
        <w:rPr>
          <w:rFonts w:ascii="Arial" w:hAnsi="Arial"/>
          <w:bCs/>
          <w:sz w:val="24"/>
          <w:szCs w:val="24"/>
        </w:rPr>
      </w:pPr>
      <w:bookmarkStart w:id="0" w:name="_Toc212336500"/>
      <w:r w:rsidRPr="00684193">
        <w:rPr>
          <w:rStyle w:val="Heading1Char"/>
        </w:rPr>
        <w:t>Executive Summary</w:t>
      </w:r>
      <w:bookmarkEnd w:id="0"/>
      <w:r w:rsidRPr="00684193">
        <w:rPr>
          <w:rFonts w:ascii="Arial" w:hAnsi="Arial"/>
          <w:bCs/>
          <w:sz w:val="24"/>
          <w:szCs w:val="24"/>
        </w:rPr>
        <w:t xml:space="preserve"> </w:t>
      </w:r>
    </w:p>
    <w:p w14:paraId="5D03235A" w14:textId="77777777" w:rsidR="00EA78CB" w:rsidRPr="00C606A1" w:rsidRDefault="00767D87" w:rsidP="00EA78CB">
      <w:pPr>
        <w:spacing w:before="120" w:after="120"/>
        <w:jc w:val="both"/>
        <w:rPr>
          <w:rFonts w:asciiTheme="minorHAnsi" w:hAnsiTheme="minorHAnsi"/>
          <w:bCs/>
          <w:sz w:val="22"/>
          <w:szCs w:val="22"/>
        </w:rPr>
      </w:pPr>
      <w:r w:rsidRPr="00C606A1">
        <w:rPr>
          <w:rFonts w:asciiTheme="minorHAnsi" w:hAnsiTheme="minorHAnsi"/>
          <w:bCs/>
          <w:sz w:val="22"/>
          <w:szCs w:val="22"/>
        </w:rPr>
        <w:t>Predictive Maintenance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represents </w:t>
      </w:r>
      <w:r w:rsidR="00EA78CB" w:rsidRPr="00C606A1">
        <w:rPr>
          <w:rFonts w:asciiTheme="minorHAnsi" w:hAnsiTheme="minorHAnsi"/>
          <w:bCs/>
          <w:sz w:val="22"/>
          <w:szCs w:val="22"/>
        </w:rPr>
        <w:t>one of</w:t>
      </w:r>
      <w:r w:rsidRPr="00C606A1">
        <w:rPr>
          <w:rFonts w:asciiTheme="minorHAnsi" w:hAnsiTheme="minorHAnsi"/>
          <w:bCs/>
          <w:sz w:val="22"/>
          <w:szCs w:val="22"/>
        </w:rPr>
        <w:t xml:space="preserve"> key enabler</w:t>
      </w:r>
      <w:r w:rsidR="00EA78CB" w:rsidRPr="00C606A1">
        <w:rPr>
          <w:rFonts w:asciiTheme="minorHAnsi" w:hAnsiTheme="minorHAnsi"/>
          <w:bCs/>
          <w:sz w:val="22"/>
          <w:szCs w:val="22"/>
        </w:rPr>
        <w:t>s</w:t>
      </w:r>
      <w:r w:rsidRPr="00C606A1">
        <w:rPr>
          <w:rFonts w:asciiTheme="minorHAnsi" w:hAnsiTheme="minorHAnsi"/>
          <w:bCs/>
          <w:sz w:val="22"/>
          <w:szCs w:val="22"/>
        </w:rPr>
        <w:t xml:space="preserve"> of industrial efficiency, sustainability, and resilience within the transition toward Industry </w:t>
      </w:r>
      <w:r w:rsidR="00EA78CB" w:rsidRPr="00C606A1">
        <w:rPr>
          <w:rFonts w:asciiTheme="minorHAnsi" w:hAnsiTheme="minorHAnsi"/>
          <w:bCs/>
          <w:sz w:val="22"/>
          <w:szCs w:val="22"/>
        </w:rPr>
        <w:t>4</w:t>
      </w:r>
      <w:r w:rsidRPr="00C606A1">
        <w:rPr>
          <w:rFonts w:asciiTheme="minorHAnsi" w:hAnsiTheme="minorHAnsi"/>
          <w:bCs/>
          <w:sz w:val="22"/>
          <w:szCs w:val="22"/>
        </w:rPr>
        <w:t xml:space="preserve">.0 and the European Green Deal objectives. However, despite its transformative potential, the implementation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remains limited due to high technological and financial barriers, fragmented data systems, and a lack of qualified personnel.</w:t>
      </w:r>
      <w:r w:rsidR="00EA78CB" w:rsidRPr="00C606A1">
        <w:rPr>
          <w:rFonts w:asciiTheme="minorHAnsi" w:hAnsiTheme="minorHAnsi"/>
          <w:bCs/>
          <w:sz w:val="22"/>
          <w:szCs w:val="22"/>
        </w:rPr>
        <w:t xml:space="preserve"> </w:t>
      </w:r>
    </w:p>
    <w:p w14:paraId="447127BE" w14:textId="48648979" w:rsidR="00767D87" w:rsidRPr="00C606A1" w:rsidRDefault="00767D87" w:rsidP="009A1476">
      <w:pPr>
        <w:spacing w:before="120" w:after="120"/>
        <w:jc w:val="both"/>
        <w:rPr>
          <w:rFonts w:asciiTheme="minorHAnsi" w:hAnsiTheme="minorHAnsi"/>
          <w:bCs/>
          <w:sz w:val="22"/>
          <w:szCs w:val="22"/>
        </w:rPr>
      </w:pPr>
      <w:r w:rsidRPr="00C606A1">
        <w:rPr>
          <w:rFonts w:asciiTheme="minorHAnsi" w:hAnsiTheme="minorHAnsi"/>
          <w:bCs/>
          <w:sz w:val="22"/>
          <w:szCs w:val="22"/>
        </w:rPr>
        <w:t xml:space="preserve">Deep technologies—such as Artificial Intelligence (AI), the </w:t>
      </w:r>
      <w:r w:rsidR="009A1476" w:rsidRPr="00C606A1">
        <w:rPr>
          <w:rFonts w:asciiTheme="minorHAnsi" w:hAnsiTheme="minorHAnsi"/>
          <w:bCs/>
          <w:sz w:val="22"/>
          <w:szCs w:val="22"/>
        </w:rPr>
        <w:t xml:space="preserve">Industrial </w:t>
      </w:r>
      <w:r w:rsidRPr="00C606A1">
        <w:rPr>
          <w:rFonts w:asciiTheme="minorHAnsi" w:hAnsiTheme="minorHAnsi"/>
          <w:bCs/>
          <w:sz w:val="22"/>
          <w:szCs w:val="22"/>
        </w:rPr>
        <w:t>Internet of Things (</w:t>
      </w:r>
      <w:proofErr w:type="spellStart"/>
      <w:r w:rsidR="009A1476" w:rsidRPr="00C606A1">
        <w:rPr>
          <w:rFonts w:asciiTheme="minorHAnsi" w:hAnsiTheme="minorHAnsi"/>
          <w:bCs/>
          <w:sz w:val="22"/>
          <w:szCs w:val="22"/>
        </w:rPr>
        <w:t>I</w:t>
      </w:r>
      <w:r w:rsidRPr="00C606A1">
        <w:rPr>
          <w:rFonts w:asciiTheme="minorHAnsi" w:hAnsiTheme="minorHAnsi"/>
          <w:bCs/>
          <w:sz w:val="22"/>
          <w:szCs w:val="22"/>
        </w:rPr>
        <w:t>IoT</w:t>
      </w:r>
      <w:proofErr w:type="spellEnd"/>
      <w:r w:rsidRPr="00C606A1">
        <w:rPr>
          <w:rFonts w:asciiTheme="minorHAnsi" w:hAnsiTheme="minorHAnsi"/>
          <w:bCs/>
          <w:sz w:val="22"/>
          <w:szCs w:val="22"/>
        </w:rPr>
        <w:t xml:space="preserve">), </w:t>
      </w:r>
      <w:r w:rsidR="009A1476" w:rsidRPr="00C606A1">
        <w:rPr>
          <w:rFonts w:asciiTheme="minorHAnsi" w:hAnsiTheme="minorHAnsi"/>
          <w:bCs/>
          <w:sz w:val="22"/>
          <w:szCs w:val="22"/>
        </w:rPr>
        <w:t xml:space="preserve">smart sensors, </w:t>
      </w:r>
      <w:r w:rsidRPr="00C606A1">
        <w:rPr>
          <w:rFonts w:asciiTheme="minorHAnsi" w:hAnsiTheme="minorHAnsi"/>
          <w:bCs/>
          <w:sz w:val="22"/>
          <w:szCs w:val="22"/>
        </w:rPr>
        <w:t xml:space="preserve">Digital Twins, Robotics, and Extended Reality (XR)—offer a pathway to overcoming these barriers. Their integration into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systems enables advanced data analytics, real-time monitoring, immersive training, and sustainable lifecycle management of industrial assets. When effectively embedded, deep tech solutions not only reduce operational downtime and maintenance costs but also contribute to measurable environmental and social benefits, including reduced resource consumption, improved workplace safety, and new opportunities for upskilling and employment in digital industries.</w:t>
      </w:r>
    </w:p>
    <w:p w14:paraId="49036B01" w14:textId="77777777" w:rsidR="00EA78CB" w:rsidRPr="00C606A1" w:rsidRDefault="00767D87" w:rsidP="009A1476">
      <w:pPr>
        <w:spacing w:before="120" w:after="120"/>
        <w:jc w:val="both"/>
        <w:rPr>
          <w:rFonts w:asciiTheme="minorHAnsi" w:hAnsiTheme="minorHAnsi"/>
          <w:bCs/>
          <w:sz w:val="22"/>
          <w:szCs w:val="22"/>
        </w:rPr>
      </w:pPr>
      <w:r w:rsidRPr="00C606A1">
        <w:rPr>
          <w:rFonts w:asciiTheme="minorHAnsi" w:hAnsiTheme="minorHAnsi"/>
          <w:bCs/>
          <w:sz w:val="22"/>
          <w:szCs w:val="22"/>
        </w:rPr>
        <w:t xml:space="preserve">To achieve large-scale deployment, a coordinated policy approach is required. This document outlines key recommendations for embedding deep tech applications in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with the aim of maximizing their environmental an</w:t>
      </w:r>
      <w:r w:rsidR="00EA78CB" w:rsidRPr="00C606A1">
        <w:rPr>
          <w:rFonts w:asciiTheme="minorHAnsi" w:hAnsiTheme="minorHAnsi"/>
          <w:bCs/>
          <w:sz w:val="22"/>
          <w:szCs w:val="22"/>
        </w:rPr>
        <w:t>d social impact. These include:</w:t>
      </w:r>
    </w:p>
    <w:p w14:paraId="5CCFE4DE" w14:textId="77777777" w:rsidR="00EA78CB" w:rsidRPr="00C606A1" w:rsidRDefault="00767D87" w:rsidP="00EA78CB">
      <w:pPr>
        <w:pStyle w:val="ListParagraph"/>
        <w:numPr>
          <w:ilvl w:val="0"/>
          <w:numId w:val="16"/>
        </w:numPr>
        <w:spacing w:before="120" w:after="120"/>
        <w:jc w:val="both"/>
        <w:rPr>
          <w:rFonts w:asciiTheme="minorHAnsi" w:hAnsiTheme="minorHAnsi"/>
          <w:bCs/>
          <w:sz w:val="22"/>
          <w:szCs w:val="22"/>
        </w:rPr>
      </w:pPr>
      <w:r w:rsidRPr="00C606A1">
        <w:rPr>
          <w:rFonts w:asciiTheme="minorHAnsi" w:hAnsiTheme="minorHAnsi"/>
          <w:bCs/>
          <w:sz w:val="22"/>
          <w:szCs w:val="22"/>
        </w:rPr>
        <w:t xml:space="preserve">integrating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and deep tech objectives into national and EU industrial strategies;</w:t>
      </w:r>
    </w:p>
    <w:p w14:paraId="04441AD1" w14:textId="77777777" w:rsidR="00EA78CB" w:rsidRPr="00C606A1" w:rsidRDefault="00767D87" w:rsidP="00EA78CB">
      <w:pPr>
        <w:pStyle w:val="ListParagraph"/>
        <w:numPr>
          <w:ilvl w:val="0"/>
          <w:numId w:val="16"/>
        </w:numPr>
        <w:spacing w:before="120" w:after="120"/>
        <w:jc w:val="both"/>
        <w:rPr>
          <w:rFonts w:asciiTheme="minorHAnsi" w:hAnsiTheme="minorHAnsi"/>
          <w:bCs/>
          <w:sz w:val="22"/>
          <w:szCs w:val="22"/>
        </w:rPr>
      </w:pPr>
      <w:r w:rsidRPr="00C606A1">
        <w:rPr>
          <w:rFonts w:asciiTheme="minorHAnsi" w:hAnsiTheme="minorHAnsi"/>
          <w:bCs/>
          <w:sz w:val="22"/>
          <w:szCs w:val="22"/>
        </w:rPr>
        <w:t>establishing standards and interoperability frameworks for data-driven maintenance systems;</w:t>
      </w:r>
    </w:p>
    <w:p w14:paraId="30021F49" w14:textId="77777777" w:rsidR="00EA78CB" w:rsidRPr="00C606A1" w:rsidRDefault="00767D87" w:rsidP="00EA78CB">
      <w:pPr>
        <w:pStyle w:val="ListParagraph"/>
        <w:numPr>
          <w:ilvl w:val="0"/>
          <w:numId w:val="16"/>
        </w:numPr>
        <w:spacing w:before="120" w:after="120"/>
        <w:jc w:val="both"/>
        <w:rPr>
          <w:rFonts w:asciiTheme="minorHAnsi" w:hAnsiTheme="minorHAnsi"/>
          <w:bCs/>
          <w:sz w:val="22"/>
          <w:szCs w:val="22"/>
        </w:rPr>
      </w:pPr>
      <w:r w:rsidRPr="00C606A1">
        <w:rPr>
          <w:rFonts w:asciiTheme="minorHAnsi" w:hAnsiTheme="minorHAnsi"/>
          <w:bCs/>
          <w:sz w:val="22"/>
          <w:szCs w:val="22"/>
        </w:rPr>
        <w:t>fostering financial and educational incentives for small and medium-sized enterprises (SMEs);</w:t>
      </w:r>
    </w:p>
    <w:p w14:paraId="15881B90" w14:textId="77777777" w:rsidR="00EA78CB" w:rsidRPr="00C606A1" w:rsidRDefault="00767D87" w:rsidP="00EA78CB">
      <w:pPr>
        <w:pStyle w:val="ListParagraph"/>
        <w:numPr>
          <w:ilvl w:val="0"/>
          <w:numId w:val="16"/>
        </w:numPr>
        <w:spacing w:before="120" w:after="120"/>
        <w:jc w:val="both"/>
        <w:rPr>
          <w:rFonts w:asciiTheme="minorHAnsi" w:hAnsiTheme="minorHAnsi"/>
          <w:bCs/>
          <w:sz w:val="22"/>
          <w:szCs w:val="22"/>
        </w:rPr>
      </w:pPr>
      <w:r w:rsidRPr="00C606A1">
        <w:rPr>
          <w:rFonts w:asciiTheme="minorHAnsi" w:hAnsiTheme="minorHAnsi"/>
          <w:bCs/>
          <w:sz w:val="22"/>
          <w:szCs w:val="22"/>
        </w:rPr>
        <w:t xml:space="preserve">strengthening partnerships between academia, research institutions, and industry; </w:t>
      </w:r>
    </w:p>
    <w:p w14:paraId="7D1D84F2" w14:textId="77777777" w:rsidR="009A1476" w:rsidRPr="00C606A1" w:rsidRDefault="00767D87" w:rsidP="009A1476">
      <w:pPr>
        <w:pStyle w:val="ListParagraph"/>
        <w:numPr>
          <w:ilvl w:val="0"/>
          <w:numId w:val="16"/>
        </w:numPr>
        <w:spacing w:before="120" w:after="120"/>
        <w:jc w:val="both"/>
        <w:rPr>
          <w:rFonts w:asciiTheme="minorHAnsi" w:hAnsiTheme="minorHAnsi"/>
          <w:bCs/>
          <w:sz w:val="22"/>
          <w:szCs w:val="22"/>
        </w:rPr>
      </w:pPr>
      <w:proofErr w:type="gramStart"/>
      <w:r w:rsidRPr="00C606A1">
        <w:rPr>
          <w:rFonts w:asciiTheme="minorHAnsi" w:hAnsiTheme="minorHAnsi"/>
          <w:bCs/>
          <w:sz w:val="22"/>
          <w:szCs w:val="22"/>
        </w:rPr>
        <w:t>developing</w:t>
      </w:r>
      <w:proofErr w:type="gramEnd"/>
      <w:r w:rsidRPr="00C606A1">
        <w:rPr>
          <w:rFonts w:asciiTheme="minorHAnsi" w:hAnsiTheme="minorHAnsi"/>
          <w:bCs/>
          <w:sz w:val="22"/>
          <w:szCs w:val="22"/>
        </w:rPr>
        <w:t xml:space="preserve"> clear sustainability metrics for assessing </w:t>
      </w:r>
      <w:proofErr w:type="spellStart"/>
      <w:r w:rsidRPr="00C606A1">
        <w:rPr>
          <w:rFonts w:asciiTheme="minorHAnsi" w:hAnsiTheme="minorHAnsi"/>
          <w:bCs/>
          <w:sz w:val="22"/>
          <w:szCs w:val="22"/>
        </w:rPr>
        <w:t>PdM’s</w:t>
      </w:r>
      <w:proofErr w:type="spellEnd"/>
      <w:r w:rsidRPr="00C606A1">
        <w:rPr>
          <w:rFonts w:asciiTheme="minorHAnsi" w:hAnsiTheme="minorHAnsi"/>
          <w:bCs/>
          <w:sz w:val="22"/>
          <w:szCs w:val="22"/>
        </w:rPr>
        <w:t xml:space="preserve"> contribution to circular and green transitions.</w:t>
      </w:r>
    </w:p>
    <w:p w14:paraId="5F81FE20" w14:textId="2B9B3A6F" w:rsidR="00767D87" w:rsidRPr="00C606A1" w:rsidRDefault="00767D87" w:rsidP="009A1476">
      <w:pPr>
        <w:spacing w:before="120" w:after="120"/>
        <w:jc w:val="both"/>
        <w:rPr>
          <w:rFonts w:asciiTheme="minorHAnsi" w:hAnsiTheme="minorHAnsi"/>
          <w:bCs/>
          <w:sz w:val="22"/>
          <w:szCs w:val="22"/>
        </w:rPr>
      </w:pPr>
      <w:r w:rsidRPr="00C606A1">
        <w:rPr>
          <w:rFonts w:asciiTheme="minorHAnsi" w:hAnsiTheme="minorHAnsi"/>
          <w:bCs/>
          <w:sz w:val="22"/>
          <w:szCs w:val="22"/>
        </w:rPr>
        <w:t xml:space="preserve">The implementation of these recommendations </w:t>
      </w:r>
      <w:r w:rsidRPr="00A6224D">
        <w:rPr>
          <w:rFonts w:asciiTheme="minorHAnsi" w:hAnsiTheme="minorHAnsi"/>
          <w:bCs/>
          <w:sz w:val="22"/>
          <w:szCs w:val="22"/>
        </w:rPr>
        <w:t>would accelerate industrial digitalization while</w:t>
      </w:r>
      <w:r w:rsidRPr="00C606A1">
        <w:rPr>
          <w:rFonts w:asciiTheme="minorHAnsi" w:hAnsiTheme="minorHAnsi"/>
          <w:bCs/>
          <w:sz w:val="22"/>
          <w:szCs w:val="22"/>
        </w:rPr>
        <w:t xml:space="preserve"> ensuring that technological innovation contributes directly to environmental preservation and social well-being.</w:t>
      </w:r>
    </w:p>
    <w:p w14:paraId="00E02939" w14:textId="45C1626D" w:rsidR="00684193" w:rsidRPr="00684193" w:rsidRDefault="00684193" w:rsidP="00EA78CB">
      <w:pPr>
        <w:pStyle w:val="Heading1"/>
        <w:numPr>
          <w:ilvl w:val="0"/>
          <w:numId w:val="15"/>
        </w:numPr>
        <w:spacing w:after="120"/>
      </w:pPr>
      <w:bookmarkStart w:id="1" w:name="_Toc212336501"/>
      <w:r w:rsidRPr="00684193">
        <w:t>Introduction</w:t>
      </w:r>
      <w:bookmarkEnd w:id="1"/>
      <w:r w:rsidRPr="00684193">
        <w:t xml:space="preserve"> </w:t>
      </w:r>
    </w:p>
    <w:p w14:paraId="14685645" w14:textId="0DC5B32B" w:rsidR="009A1476" w:rsidRPr="00C606A1" w:rsidRDefault="009A1476" w:rsidP="009A1476">
      <w:pPr>
        <w:spacing w:before="120" w:after="120"/>
        <w:jc w:val="both"/>
        <w:rPr>
          <w:rFonts w:asciiTheme="minorHAnsi" w:hAnsiTheme="minorHAnsi"/>
          <w:bCs/>
          <w:sz w:val="22"/>
          <w:szCs w:val="22"/>
        </w:rPr>
      </w:pPr>
      <w:r w:rsidRPr="00C606A1">
        <w:rPr>
          <w:rFonts w:asciiTheme="minorHAnsi" w:hAnsiTheme="minorHAnsi"/>
          <w:bCs/>
          <w:sz w:val="22"/>
          <w:szCs w:val="22"/>
        </w:rPr>
        <w:t>The ongoing transformation of industrial systems is increasingly shaped by the convergence of digital and sustainable technologies. Predictive Maintenance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as one of the core pillars of digital manufacturing, plays a pivotal role in enabling smarter, safer, and more efficient production processes. By anticipating equipment failures before they occur,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minimizes unplanned downtime, extends machine lifespans, and reduces material and energy waste—thereby aligning with both economic and environmental objectives.</w:t>
      </w:r>
    </w:p>
    <w:p w14:paraId="13DEDFC2" w14:textId="77777777" w:rsidR="009A1476" w:rsidRPr="00C606A1" w:rsidRDefault="009A1476" w:rsidP="009A1476">
      <w:pPr>
        <w:spacing w:before="120" w:after="120"/>
        <w:jc w:val="both"/>
        <w:rPr>
          <w:rFonts w:asciiTheme="minorHAnsi" w:hAnsiTheme="minorHAnsi"/>
          <w:bCs/>
          <w:sz w:val="22"/>
          <w:szCs w:val="22"/>
        </w:rPr>
      </w:pPr>
      <w:r w:rsidRPr="00C606A1">
        <w:rPr>
          <w:rFonts w:asciiTheme="minorHAnsi" w:hAnsiTheme="minorHAnsi"/>
          <w:bCs/>
          <w:sz w:val="22"/>
          <w:szCs w:val="22"/>
        </w:rPr>
        <w:t xml:space="preserve">Despite the proven potential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its widespread adoption remains constrained by technical, organizational, and financial challenges. Many companies, especially SMEs, struggle to access or implement advanced predictive systems due to high costs, lack of interoperability between platforms, and insufficient digital skills within the workforce. Moreover, the absence of standardized frameworks for data management and sustainability assessment limits the measurable impact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on the green and digital transitions.</w:t>
      </w:r>
    </w:p>
    <w:p w14:paraId="35ABB9BE" w14:textId="17725BCA" w:rsidR="009A1476" w:rsidRPr="00C606A1" w:rsidRDefault="009A1476" w:rsidP="009A1476">
      <w:pPr>
        <w:spacing w:before="120" w:after="120"/>
        <w:jc w:val="both"/>
        <w:rPr>
          <w:rFonts w:asciiTheme="minorHAnsi" w:hAnsiTheme="minorHAnsi"/>
          <w:bCs/>
          <w:sz w:val="22"/>
          <w:szCs w:val="22"/>
        </w:rPr>
      </w:pPr>
      <w:r w:rsidRPr="00C606A1">
        <w:rPr>
          <w:rFonts w:asciiTheme="minorHAnsi" w:hAnsiTheme="minorHAnsi"/>
          <w:bCs/>
          <w:sz w:val="22"/>
          <w:szCs w:val="22"/>
        </w:rPr>
        <w:lastRenderedPageBreak/>
        <w:t xml:space="preserve">Deep technology—or deep tech—encompasses a class of advanced innovations based on scientific and engineering breakthroughs, including Artificial Intelligence (AI), the </w:t>
      </w:r>
      <w:r w:rsidR="00177509" w:rsidRPr="00C606A1">
        <w:rPr>
          <w:rFonts w:asciiTheme="minorHAnsi" w:hAnsiTheme="minorHAnsi"/>
          <w:bCs/>
          <w:sz w:val="22"/>
          <w:szCs w:val="22"/>
        </w:rPr>
        <w:t xml:space="preserve">Industrial </w:t>
      </w:r>
      <w:r w:rsidRPr="00C606A1">
        <w:rPr>
          <w:rFonts w:asciiTheme="minorHAnsi" w:hAnsiTheme="minorHAnsi"/>
          <w:bCs/>
          <w:sz w:val="22"/>
          <w:szCs w:val="22"/>
        </w:rPr>
        <w:t>Internet of Things (</w:t>
      </w:r>
      <w:proofErr w:type="spellStart"/>
      <w:r w:rsidR="00177509" w:rsidRPr="00C606A1">
        <w:rPr>
          <w:rFonts w:asciiTheme="minorHAnsi" w:hAnsiTheme="minorHAnsi"/>
          <w:bCs/>
          <w:sz w:val="22"/>
          <w:szCs w:val="22"/>
        </w:rPr>
        <w:t>I</w:t>
      </w:r>
      <w:r w:rsidRPr="00C606A1">
        <w:rPr>
          <w:rFonts w:asciiTheme="minorHAnsi" w:hAnsiTheme="minorHAnsi"/>
          <w:bCs/>
          <w:sz w:val="22"/>
          <w:szCs w:val="22"/>
        </w:rPr>
        <w:t>IoT</w:t>
      </w:r>
      <w:proofErr w:type="spellEnd"/>
      <w:r w:rsidRPr="00C606A1">
        <w:rPr>
          <w:rFonts w:asciiTheme="minorHAnsi" w:hAnsiTheme="minorHAnsi"/>
          <w:bCs/>
          <w:sz w:val="22"/>
          <w:szCs w:val="22"/>
        </w:rPr>
        <w:t xml:space="preserve">), </w:t>
      </w:r>
      <w:r w:rsidR="00177509" w:rsidRPr="00C606A1">
        <w:rPr>
          <w:rFonts w:asciiTheme="minorHAnsi" w:hAnsiTheme="minorHAnsi"/>
          <w:bCs/>
          <w:sz w:val="22"/>
          <w:szCs w:val="22"/>
        </w:rPr>
        <w:t xml:space="preserve">smart sensors, </w:t>
      </w:r>
      <w:r w:rsidRPr="00C606A1">
        <w:rPr>
          <w:rFonts w:asciiTheme="minorHAnsi" w:hAnsiTheme="minorHAnsi"/>
          <w:bCs/>
          <w:sz w:val="22"/>
          <w:szCs w:val="22"/>
        </w:rPr>
        <w:t xml:space="preserve">robotics, Digital Twins, Extended Reality (XR), and edge computing. These technologies hold significant potential to enhance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through advanced data analytics, immersive </w:t>
      </w:r>
      <w:r w:rsidR="00177509" w:rsidRPr="00C606A1">
        <w:rPr>
          <w:rFonts w:asciiTheme="minorHAnsi" w:hAnsiTheme="minorHAnsi"/>
          <w:bCs/>
          <w:sz w:val="22"/>
          <w:szCs w:val="22"/>
        </w:rPr>
        <w:t>trainings</w:t>
      </w:r>
      <w:r w:rsidRPr="00C606A1">
        <w:rPr>
          <w:rFonts w:asciiTheme="minorHAnsi" w:hAnsiTheme="minorHAnsi"/>
          <w:bCs/>
          <w:sz w:val="22"/>
          <w:szCs w:val="22"/>
        </w:rPr>
        <w:t>, real-time decision-making, and automation of complex maintenance tasks. Their integration fosters not only higher operational efficiency but also broader social and environmental benefits, contributing to carbon footprint reduction, workforce development, and safer workplaces.</w:t>
      </w:r>
    </w:p>
    <w:p w14:paraId="37445A5A" w14:textId="0D16A2D9" w:rsidR="00684193" w:rsidRPr="00C606A1" w:rsidRDefault="009A1476" w:rsidP="009A1476">
      <w:pPr>
        <w:spacing w:before="120" w:after="120"/>
        <w:jc w:val="both"/>
        <w:rPr>
          <w:rFonts w:asciiTheme="minorHAnsi" w:hAnsiTheme="minorHAnsi"/>
          <w:bCs/>
          <w:sz w:val="22"/>
          <w:szCs w:val="22"/>
        </w:rPr>
      </w:pPr>
      <w:r w:rsidRPr="00C606A1">
        <w:rPr>
          <w:rFonts w:asciiTheme="minorHAnsi" w:hAnsiTheme="minorHAnsi"/>
          <w:bCs/>
          <w:sz w:val="22"/>
          <w:szCs w:val="22"/>
        </w:rPr>
        <w:t xml:space="preserve">Embedding deep tech applications into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frameworks thus represents both a technological and policy priority for sustainable industrial growth. To fully harness this potential, policies must address current gaps in regulation, funding, and education, while promoting collaboration among stakeholders across sectors. The following sections provide an overview of the current challenges in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implementation, highlight the role of deep tech in addressing them, and propose targeted policy recommendations to ensure that technological innovation translates into tangible environmental and social impact.</w:t>
      </w:r>
    </w:p>
    <w:p w14:paraId="544AEE3C" w14:textId="5821F480" w:rsidR="00684193" w:rsidRPr="00684193" w:rsidRDefault="00684193" w:rsidP="00EA78CB">
      <w:pPr>
        <w:pStyle w:val="Heading1"/>
        <w:numPr>
          <w:ilvl w:val="0"/>
          <w:numId w:val="15"/>
        </w:numPr>
        <w:spacing w:after="120"/>
      </w:pPr>
      <w:bookmarkStart w:id="2" w:name="_Toc212336502"/>
      <w:r w:rsidRPr="00684193">
        <w:t>Current State and Challenges in Predictive Maintenance</w:t>
      </w:r>
      <w:bookmarkEnd w:id="2"/>
      <w:r w:rsidRPr="00684193">
        <w:t xml:space="preserve"> </w:t>
      </w:r>
    </w:p>
    <w:p w14:paraId="2491C492" w14:textId="39D97FEA"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Predictive Maintenance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is increasingly recognized as a cornerstone of modern industrial operations, offering a data-driven approach to maintenance that enhances productivity, safety, and sustainability. Despite this, the current state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deployment across European industries remains uneven and fragmented. While large manufacturing enterprises are progressively integrating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into their digital transformation strategies, small and medium-sized enterprises (SMEs) face considerable barriers to adoption.</w:t>
      </w:r>
    </w:p>
    <w:p w14:paraId="2B6A239F"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Technological fragmentation is one of the main challenges. Industrial assets often rely on heterogeneous equipment and legacy systems that lack interoperability, making it difficult to collect, integrate, and </w:t>
      </w:r>
      <w:proofErr w:type="spellStart"/>
      <w:r w:rsidRPr="00C606A1">
        <w:rPr>
          <w:rFonts w:asciiTheme="minorHAnsi" w:hAnsiTheme="minorHAnsi"/>
          <w:bCs/>
          <w:sz w:val="22"/>
          <w:szCs w:val="22"/>
        </w:rPr>
        <w:t>analyze</w:t>
      </w:r>
      <w:proofErr w:type="spellEnd"/>
      <w:r w:rsidRPr="00C606A1">
        <w:rPr>
          <w:rFonts w:asciiTheme="minorHAnsi" w:hAnsiTheme="minorHAnsi"/>
          <w:bCs/>
          <w:sz w:val="22"/>
          <w:szCs w:val="22"/>
        </w:rPr>
        <w:t xml:space="preserve"> data effectively. The absence of standardized communication protocols and data models further complicates the deployment of scalable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solutions.</w:t>
      </w:r>
    </w:p>
    <w:p w14:paraId="78B2F538"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Financial constraints also hinder widespread implementation. Many SMEs lack the resources to invest in high-end sensors, cloud infrastructure, or advanced AI analytics platforms. The return on investment, although potentially significant, is often perceived as uncertain or too long-term, limiting the motivation for early adoption.</w:t>
      </w:r>
    </w:p>
    <w:p w14:paraId="49512994"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Human capital and skills gaps represent another critical obstacle.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requires multidisciplinary expertise spanning mechanical engineering, data science, and information technology. The shortage of personnel capable of managing and interpreting predictive data limits the potential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even when technologies are available.</w:t>
      </w:r>
    </w:p>
    <w:p w14:paraId="3B227C49"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From an environmental perspective, the impact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remains underexplored and insufficiently measured. While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inherently contributes to resource efficiency and waste reduction, the lack of standardized sustainability indicators prevents the quantification of its ecological benefits. Similarly, the social impact dimension—such as improved occupational safety, workforce development, and job transformation—remains largely absent from existing industrial strategies.</w:t>
      </w:r>
    </w:p>
    <w:p w14:paraId="37CFB769" w14:textId="6182C2CB" w:rsidR="00684193"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Finally, policy and regulatory gaps persist. Current industrial digitalization policies focus primarily on productivity and competitiveness, often neglecting the environmental and social dimensions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There is an urgent need for policy frameworks that align predictive maintenance with broader sustainability and inclusion goals, ensuring that deep tech adoption delivers tangible societal value.</w:t>
      </w:r>
    </w:p>
    <w:p w14:paraId="36BC0FA3" w14:textId="77777777" w:rsidR="00684193" w:rsidRPr="00684193" w:rsidRDefault="00684193" w:rsidP="00EA78CB">
      <w:pPr>
        <w:spacing w:before="480" w:after="120"/>
        <w:jc w:val="both"/>
        <w:rPr>
          <w:rFonts w:ascii="Arial" w:hAnsi="Arial"/>
          <w:bCs/>
          <w:sz w:val="24"/>
          <w:szCs w:val="24"/>
        </w:rPr>
      </w:pPr>
    </w:p>
    <w:p w14:paraId="67B0A78B" w14:textId="3CD7D4B0" w:rsidR="00684193" w:rsidRPr="00684193" w:rsidRDefault="00684193" w:rsidP="00EA78CB">
      <w:pPr>
        <w:pStyle w:val="Heading1"/>
        <w:numPr>
          <w:ilvl w:val="0"/>
          <w:numId w:val="15"/>
        </w:numPr>
        <w:spacing w:after="120"/>
      </w:pPr>
      <w:bookmarkStart w:id="3" w:name="_Toc212336503"/>
      <w:r w:rsidRPr="00684193">
        <w:lastRenderedPageBreak/>
        <w:t xml:space="preserve">Deep Tech Applications in </w:t>
      </w:r>
      <w:proofErr w:type="spellStart"/>
      <w:r w:rsidRPr="00684193">
        <w:t>PdM</w:t>
      </w:r>
      <w:bookmarkEnd w:id="3"/>
      <w:proofErr w:type="spellEnd"/>
      <w:r w:rsidRPr="00684193">
        <w:t xml:space="preserve"> </w:t>
      </w:r>
    </w:p>
    <w:p w14:paraId="34C974C7"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The integration of deep technologies into Predictive Maintenance frameworks is transforming the way industries monitor, diagnose, and manage their assets. Deep tech offers the tools to bridge data silos, enhance predictive accuracy, and embed sustainability principles directly into industrial operations. The following subsections outline the main technological pillars of this transformation.</w:t>
      </w:r>
    </w:p>
    <w:p w14:paraId="2F91C08C" w14:textId="77777777" w:rsidR="008B3D2B" w:rsidRPr="00C606A1" w:rsidRDefault="008B3D2B" w:rsidP="008B3D2B">
      <w:pPr>
        <w:spacing w:before="120" w:after="120"/>
        <w:jc w:val="both"/>
        <w:rPr>
          <w:rFonts w:asciiTheme="minorHAnsi" w:hAnsiTheme="minorHAnsi"/>
          <w:bCs/>
          <w:sz w:val="22"/>
          <w:szCs w:val="22"/>
        </w:rPr>
      </w:pPr>
    </w:p>
    <w:p w14:paraId="059494ED"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4.1 Artificial Intelligence and Machine Learning</w:t>
      </w:r>
    </w:p>
    <w:p w14:paraId="24A5B217"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AI and ML algorithms enable the identification of patterns and anomalies in complex data sets collected from industrial equipment. Through supervised and unsupervised learning, these algorithms can predict failures before they occur, optimize maintenance schedules, and reduce unnecessary interventions. The continuous improvement of AI models through machine learning enhances system reliability and extends equipment lifespan. Importantly, AI also allows sustainability-oriented analysis, linking maintenance activities with energy consumption and emission data.</w:t>
      </w:r>
    </w:p>
    <w:p w14:paraId="2EEC4412"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4.2 Industrial Internet of Things (</w:t>
      </w:r>
      <w:proofErr w:type="spellStart"/>
      <w:r w:rsidRPr="00C606A1">
        <w:rPr>
          <w:rFonts w:asciiTheme="minorHAnsi" w:hAnsiTheme="minorHAnsi"/>
          <w:bCs/>
          <w:sz w:val="22"/>
          <w:szCs w:val="22"/>
        </w:rPr>
        <w:t>IIoT</w:t>
      </w:r>
      <w:proofErr w:type="spellEnd"/>
      <w:r w:rsidRPr="00C606A1">
        <w:rPr>
          <w:rFonts w:asciiTheme="minorHAnsi" w:hAnsiTheme="minorHAnsi"/>
          <w:bCs/>
          <w:sz w:val="22"/>
          <w:szCs w:val="22"/>
        </w:rPr>
        <w:t>) and Edge Computing</w:t>
      </w:r>
    </w:p>
    <w:p w14:paraId="3CC0A322"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The Industrial Internet of Things (</w:t>
      </w:r>
      <w:proofErr w:type="spellStart"/>
      <w:r w:rsidRPr="00C606A1">
        <w:rPr>
          <w:rFonts w:asciiTheme="minorHAnsi" w:hAnsiTheme="minorHAnsi"/>
          <w:bCs/>
          <w:sz w:val="22"/>
          <w:szCs w:val="22"/>
        </w:rPr>
        <w:t>IIoT</w:t>
      </w:r>
      <w:proofErr w:type="spellEnd"/>
      <w:r w:rsidRPr="00C606A1">
        <w:rPr>
          <w:rFonts w:asciiTheme="minorHAnsi" w:hAnsiTheme="minorHAnsi"/>
          <w:bCs/>
          <w:sz w:val="22"/>
          <w:szCs w:val="22"/>
        </w:rPr>
        <w:t>) establishes a networked ecosystem in which industrial machines, sensors, and control units continuously exchange operational data. This connectivity enables real-time monitoring of equipment performance, environmental conditions, and process parameters, forming the backbone of modern Predictive Maintenance systems.</w:t>
      </w:r>
    </w:p>
    <w:p w14:paraId="1FA3D670"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Edge computing complements </w:t>
      </w:r>
      <w:proofErr w:type="spellStart"/>
      <w:r w:rsidRPr="00C606A1">
        <w:rPr>
          <w:rFonts w:asciiTheme="minorHAnsi" w:hAnsiTheme="minorHAnsi"/>
          <w:bCs/>
          <w:sz w:val="22"/>
          <w:szCs w:val="22"/>
        </w:rPr>
        <w:t>IIoT</w:t>
      </w:r>
      <w:proofErr w:type="spellEnd"/>
      <w:r w:rsidRPr="00C606A1">
        <w:rPr>
          <w:rFonts w:asciiTheme="minorHAnsi" w:hAnsiTheme="minorHAnsi"/>
          <w:bCs/>
          <w:sz w:val="22"/>
          <w:szCs w:val="22"/>
        </w:rPr>
        <w:t xml:space="preserve"> by allowing data processing to occur locally—close to the source of generation—rather than relying solely on cloud infrastructure. This decentralized approach reduces latency, improves data security, and minimizes bandwidth usage. In combination, </w:t>
      </w:r>
      <w:proofErr w:type="spellStart"/>
      <w:r w:rsidRPr="00C606A1">
        <w:rPr>
          <w:rFonts w:asciiTheme="minorHAnsi" w:hAnsiTheme="minorHAnsi"/>
          <w:bCs/>
          <w:sz w:val="22"/>
          <w:szCs w:val="22"/>
        </w:rPr>
        <w:t>IIoT</w:t>
      </w:r>
      <w:proofErr w:type="spellEnd"/>
      <w:r w:rsidRPr="00C606A1">
        <w:rPr>
          <w:rFonts w:asciiTheme="minorHAnsi" w:hAnsiTheme="minorHAnsi"/>
          <w:bCs/>
          <w:sz w:val="22"/>
          <w:szCs w:val="22"/>
        </w:rPr>
        <w:t xml:space="preserve"> and edge architectures ensure timely and reliable predictive insights, even in environments with limited connectivity or strict data protection requirements.</w:t>
      </w:r>
    </w:p>
    <w:p w14:paraId="0EB2A3DD" w14:textId="4CDD82E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For small and medium-sized enterprises (SMEs), </w:t>
      </w:r>
      <w:proofErr w:type="spellStart"/>
      <w:r w:rsidRPr="00C606A1">
        <w:rPr>
          <w:rFonts w:asciiTheme="minorHAnsi" w:hAnsiTheme="minorHAnsi"/>
          <w:bCs/>
          <w:sz w:val="22"/>
          <w:szCs w:val="22"/>
        </w:rPr>
        <w:t>IIoT</w:t>
      </w:r>
      <w:proofErr w:type="spellEnd"/>
      <w:r w:rsidRPr="00C606A1">
        <w:rPr>
          <w:rFonts w:asciiTheme="minorHAnsi" w:hAnsiTheme="minorHAnsi"/>
          <w:bCs/>
          <w:sz w:val="22"/>
          <w:szCs w:val="22"/>
        </w:rPr>
        <w:t xml:space="preserve"> offers scalable, cost-effective access to data-driven maintenance solutions. It supports the integration of smart sensors, AI analytics, and digital twins into unified platforms, enabling efficient decision-making and more sustainable asset management across the production lifecycle.</w:t>
      </w:r>
    </w:p>
    <w:p w14:paraId="76451964"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4.3 Smart Sensors</w:t>
      </w:r>
    </w:p>
    <w:p w14:paraId="230D38B5"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Smart sensors represent a fundamental enabler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and a distinct component of the deep tech ecosystem. Unlike conventional sensors that merely capture and transmit signals, smart sensors integrate data processing, communication, and self-diagnostic capabilities. Embedded microcontrollers and AI algorithms allow them to </w:t>
      </w:r>
      <w:proofErr w:type="spellStart"/>
      <w:r w:rsidRPr="00C606A1">
        <w:rPr>
          <w:rFonts w:asciiTheme="minorHAnsi" w:hAnsiTheme="minorHAnsi"/>
          <w:bCs/>
          <w:sz w:val="22"/>
          <w:szCs w:val="22"/>
        </w:rPr>
        <w:t>analyze</w:t>
      </w:r>
      <w:proofErr w:type="spellEnd"/>
      <w:r w:rsidRPr="00C606A1">
        <w:rPr>
          <w:rFonts w:asciiTheme="minorHAnsi" w:hAnsiTheme="minorHAnsi"/>
          <w:bCs/>
          <w:sz w:val="22"/>
          <w:szCs w:val="22"/>
        </w:rPr>
        <w:t xml:space="preserve"> data locally and detect early signs of equipment degradation.</w:t>
      </w:r>
    </w:p>
    <w:p w14:paraId="7691AED0" w14:textId="43DA768B"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These sensors collect key parameters such as vibration, temperature, sound, and strain—providing a comprehensive picture of machine health. When integrated into </w:t>
      </w:r>
      <w:proofErr w:type="spellStart"/>
      <w:r w:rsidRPr="00C606A1">
        <w:rPr>
          <w:rFonts w:asciiTheme="minorHAnsi" w:hAnsiTheme="minorHAnsi"/>
          <w:bCs/>
          <w:sz w:val="22"/>
          <w:szCs w:val="22"/>
        </w:rPr>
        <w:t>IIoT</w:t>
      </w:r>
      <w:proofErr w:type="spellEnd"/>
      <w:r w:rsidRPr="00C606A1">
        <w:rPr>
          <w:rFonts w:asciiTheme="minorHAnsi" w:hAnsiTheme="minorHAnsi"/>
          <w:bCs/>
          <w:sz w:val="22"/>
          <w:szCs w:val="22"/>
        </w:rPr>
        <w:t xml:space="preserve"> networks or digital twin environments, they enable continuous and autonomous monitoring, significantly enhancing predictive accuracy.</w:t>
      </w:r>
    </w:p>
    <w:p w14:paraId="7CFCF593"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From an environmental perspective, smart sensors reduce waste and energy consumption by ensuring that maintenance actions are taken only when necessary. Their low-power design and increasing use of recyclable materials also contribute to circular economy principles. Furthermore, they facilitate social impact by enabling safer working environments and supporting upskilling initiatives, as operators learn to interpret sensor data and collaborate with digital systems.</w:t>
      </w:r>
    </w:p>
    <w:p w14:paraId="0F660756" w14:textId="77777777" w:rsidR="008B3D2B" w:rsidRPr="00C606A1" w:rsidRDefault="008B3D2B" w:rsidP="008B3D2B">
      <w:pPr>
        <w:spacing w:before="120" w:after="120"/>
        <w:jc w:val="both"/>
        <w:rPr>
          <w:rFonts w:asciiTheme="minorHAnsi" w:hAnsiTheme="minorHAnsi"/>
          <w:bCs/>
          <w:sz w:val="22"/>
          <w:szCs w:val="22"/>
        </w:rPr>
      </w:pPr>
    </w:p>
    <w:p w14:paraId="58341654"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lastRenderedPageBreak/>
        <w:t>4.4 Digital Twins</w:t>
      </w:r>
    </w:p>
    <w:p w14:paraId="5A20FEF6" w14:textId="67779A34"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Digital Twins are virtual replicas of physical assets that continuously receive real-time data from their physical counterparts. By simulating operational conditions, digital twins allow engineers to forecast failures, assess different maintenance scenarios, and optimize system performance. They also play an important role in sustainability assessment, as simulations can estimate the environmental footprint of maintenance strategies. When coupled with AI and </w:t>
      </w:r>
      <w:proofErr w:type="spellStart"/>
      <w:r w:rsidR="007B0E29">
        <w:rPr>
          <w:rFonts w:asciiTheme="minorHAnsi" w:hAnsiTheme="minorHAnsi"/>
          <w:bCs/>
          <w:sz w:val="22"/>
          <w:szCs w:val="22"/>
        </w:rPr>
        <w:t>I</w:t>
      </w:r>
      <w:r w:rsidRPr="00C606A1">
        <w:rPr>
          <w:rFonts w:asciiTheme="minorHAnsi" w:hAnsiTheme="minorHAnsi"/>
          <w:bCs/>
          <w:sz w:val="22"/>
          <w:szCs w:val="22"/>
        </w:rPr>
        <w:t>IoT</w:t>
      </w:r>
      <w:proofErr w:type="spellEnd"/>
      <w:r w:rsidRPr="00C606A1">
        <w:rPr>
          <w:rFonts w:asciiTheme="minorHAnsi" w:hAnsiTheme="minorHAnsi"/>
          <w:bCs/>
          <w:sz w:val="22"/>
          <w:szCs w:val="22"/>
        </w:rPr>
        <w:t xml:space="preserve"> data, digital twins become a powerful tool for both predictive analysis and life-cycle optimization.</w:t>
      </w:r>
    </w:p>
    <w:p w14:paraId="7FF4FDD3"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4.5 Extended Reality (XR) Technologies</w:t>
      </w:r>
    </w:p>
    <w:p w14:paraId="3495BBE3"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Extended Reality (XR)—including Augmented Reality (AR), Virtual Reality (VR), and Mixed Reality (MR)—is increasingly used to support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activities. These technologies enable immersive visualization of machine data and provide intuitive, hands-free guidance for technicians during maintenance tasks. In training contexts, XR allows operators to practice maintenance procedures in virtual environments, enhancing safety and skill acquisition. Moreover, XR contributes to social sustainability by democratizing access to advanced industrial training, bridging generational and gender gaps in technical education.</w:t>
      </w:r>
    </w:p>
    <w:p w14:paraId="49A67B86"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4.6 Advanced Robotics and Automation</w:t>
      </w:r>
    </w:p>
    <w:p w14:paraId="5D5DAD0D" w14:textId="77777777"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 xml:space="preserve">Robotic systems equipped with AI and vision-based sensors can autonomously perform inspection, maintenance, and repair tasks, particularly in hazardous or inaccessible environments. These robotic applications not only increase operational efficiency but also significantly improve worker safety. When combined with predictive analytics, robots can act </w:t>
      </w:r>
      <w:proofErr w:type="spellStart"/>
      <w:r w:rsidRPr="00C606A1">
        <w:rPr>
          <w:rFonts w:asciiTheme="minorHAnsi" w:hAnsiTheme="minorHAnsi"/>
          <w:bCs/>
          <w:sz w:val="22"/>
          <w:szCs w:val="22"/>
        </w:rPr>
        <w:t>preemptively</w:t>
      </w:r>
      <w:proofErr w:type="spellEnd"/>
      <w:r w:rsidRPr="00C606A1">
        <w:rPr>
          <w:rFonts w:asciiTheme="minorHAnsi" w:hAnsiTheme="minorHAnsi"/>
          <w:bCs/>
          <w:sz w:val="22"/>
          <w:szCs w:val="22"/>
        </w:rPr>
        <w:t>, executing maintenance actions based on data-driven insights.</w:t>
      </w:r>
    </w:p>
    <w:p w14:paraId="487A6475" w14:textId="3093E2FF" w:rsidR="008B3D2B" w:rsidRPr="00C606A1" w:rsidRDefault="008B3D2B" w:rsidP="008B3D2B">
      <w:pPr>
        <w:spacing w:before="120" w:after="120"/>
        <w:jc w:val="both"/>
        <w:rPr>
          <w:rFonts w:asciiTheme="minorHAnsi" w:hAnsiTheme="minorHAnsi"/>
          <w:bCs/>
          <w:sz w:val="22"/>
          <w:szCs w:val="22"/>
        </w:rPr>
      </w:pPr>
      <w:r w:rsidRPr="00C606A1">
        <w:rPr>
          <w:rFonts w:asciiTheme="minorHAnsi" w:hAnsiTheme="minorHAnsi"/>
          <w:bCs/>
          <w:sz w:val="22"/>
          <w:szCs w:val="22"/>
        </w:rPr>
        <w:t>The convergence of robotics with other deep tech elements—AI, IoT, and smart sensors—creates the foundation for fully autonomous maintenance ecosystems capable of optimizing performance with minimal human intervention.</w:t>
      </w:r>
    </w:p>
    <w:p w14:paraId="6C6023F7" w14:textId="0929C0C0" w:rsidR="00684193" w:rsidRPr="00684193" w:rsidRDefault="00684193" w:rsidP="00EA78CB">
      <w:pPr>
        <w:pStyle w:val="Heading1"/>
        <w:numPr>
          <w:ilvl w:val="0"/>
          <w:numId w:val="15"/>
        </w:numPr>
        <w:spacing w:after="120"/>
      </w:pPr>
      <w:bookmarkStart w:id="4" w:name="_Toc212336504"/>
      <w:r w:rsidRPr="00684193">
        <w:t>Environmental and Social Impact</w:t>
      </w:r>
      <w:bookmarkEnd w:id="4"/>
      <w:r w:rsidRPr="00684193">
        <w:t xml:space="preserve"> </w:t>
      </w:r>
    </w:p>
    <w:p w14:paraId="18B87B08" w14:textId="26467542"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The integration of deep tech applications into Predictive Maintenance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frameworks contributes not only to industrial efficiency but also to measurable environmental and social benefits. By optimizing resource usage, extending equipment lifespans, and enabling safer and more inclusive workplaces,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supported by deep technologies aligns directly with the objectives of the European Green Deal, the Circular Economy Action Plan, and the Sustainable Development Goals (SDGs).</w:t>
      </w:r>
    </w:p>
    <w:p w14:paraId="785491DB" w14:textId="77777777" w:rsidR="00C606A1" w:rsidRPr="00C606A1" w:rsidRDefault="00C606A1" w:rsidP="00C606A1">
      <w:pPr>
        <w:spacing w:before="120" w:after="120"/>
        <w:jc w:val="both"/>
        <w:rPr>
          <w:rFonts w:asciiTheme="minorHAnsi" w:hAnsiTheme="minorHAnsi"/>
          <w:bCs/>
          <w:sz w:val="22"/>
          <w:szCs w:val="22"/>
        </w:rPr>
      </w:pPr>
    </w:p>
    <w:p w14:paraId="5F6C885A"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5.1 Environmental Impact</w:t>
      </w:r>
    </w:p>
    <w:p w14:paraId="614EDCDA"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Predictive Maintenance significantly reduces the environmental footprint of industrial operations by promoting resource efficiency and energy optimization. Through continuous condition monitoring and early fault detection, maintenance activities are carried out only when necessary—preventing unnecessary replacements, minimizing material waste, and reducing energy consumption associated with production downtime.</w:t>
      </w:r>
    </w:p>
    <w:p w14:paraId="04804056"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The adoption of smart sensors and </w:t>
      </w:r>
      <w:proofErr w:type="spellStart"/>
      <w:r w:rsidRPr="00C606A1">
        <w:rPr>
          <w:rFonts w:asciiTheme="minorHAnsi" w:hAnsiTheme="minorHAnsi"/>
          <w:bCs/>
          <w:sz w:val="22"/>
          <w:szCs w:val="22"/>
        </w:rPr>
        <w:t>IIoT</w:t>
      </w:r>
      <w:proofErr w:type="spellEnd"/>
      <w:r w:rsidRPr="00C606A1">
        <w:rPr>
          <w:rFonts w:asciiTheme="minorHAnsi" w:hAnsiTheme="minorHAnsi"/>
          <w:bCs/>
          <w:sz w:val="22"/>
          <w:szCs w:val="22"/>
        </w:rPr>
        <w:t>-enabled data analytics allows precise tracking of energy performance and environmental indicators, supporting the development of data-driven sustainability strategies. For instance, predictive insights can identify energy-intensive equipment or inefficiencies in production processes, enabling targeted improvements that directly contribute to carbon footprint reduction.</w:t>
      </w:r>
    </w:p>
    <w:p w14:paraId="367F2FF7" w14:textId="76D6403C"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lastRenderedPageBreak/>
        <w:t>Digital Twins</w:t>
      </w:r>
      <w:r w:rsidR="002613EA">
        <w:rPr>
          <w:rFonts w:asciiTheme="minorHAnsi" w:hAnsiTheme="minorHAnsi"/>
          <w:bCs/>
          <w:sz w:val="22"/>
          <w:szCs w:val="22"/>
        </w:rPr>
        <w:t xml:space="preserve"> </w:t>
      </w:r>
      <w:r w:rsidRPr="00C606A1">
        <w:rPr>
          <w:rFonts w:asciiTheme="minorHAnsi" w:hAnsiTheme="minorHAnsi"/>
          <w:bCs/>
          <w:sz w:val="22"/>
          <w:szCs w:val="22"/>
        </w:rPr>
        <w:t>further enhance environmental management by simulating various maintenance scenarios and their ecological outcomes, thus enabling the selection of the most sustainable interventions. This approach supports the shift toward life-cycle thinking, ensuring that maintenance decisions account for both operational performance and environmental sustainability over time.</w:t>
      </w:r>
    </w:p>
    <w:p w14:paraId="2488981C"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Additionally, deep tech integration encourages the use of eco-efficient maintenance materials, facilitates remote diagnostics that reduce travel-related emissions, and supports energy-aware scheduling through AI-based optimization. As a result,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becomes a crucial enabler of industrial decarbonization and a driver of circular economy principles.</w:t>
      </w:r>
    </w:p>
    <w:p w14:paraId="62C6AF14"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5.2 Social Impact</w:t>
      </w:r>
    </w:p>
    <w:p w14:paraId="18D65280" w14:textId="165C7FB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Beyond environmental benefits, embedding deep tech applications in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generates considerable social value. One of the most direct outcomes is the enhancement of occupational safety and health. Predictive systems reduce exposure to hazardous maintenance conditions by allowing failures to be addressed proactively, often through remote monitoring or </w:t>
      </w:r>
      <w:r w:rsidR="00582150">
        <w:rPr>
          <w:rFonts w:asciiTheme="minorHAnsi" w:hAnsiTheme="minorHAnsi"/>
          <w:bCs/>
          <w:sz w:val="22"/>
          <w:szCs w:val="22"/>
        </w:rPr>
        <w:t xml:space="preserve">potentially </w:t>
      </w:r>
      <w:r w:rsidRPr="00C606A1">
        <w:rPr>
          <w:rFonts w:asciiTheme="minorHAnsi" w:hAnsiTheme="minorHAnsi"/>
          <w:bCs/>
          <w:sz w:val="22"/>
          <w:szCs w:val="22"/>
        </w:rPr>
        <w:t>robotic intervention.</w:t>
      </w:r>
    </w:p>
    <w:p w14:paraId="1B115B14"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Deep tech adoption also fosters digital skill development across the industrial workforce. As maintenance roles evolve from manual operations to data interpretation and decision-making, new opportunities emerge for professional growth and reskilling. Initiatives integrating Extended Reality (XR) technologies for maintenance training—such as Augmented Reality-assisted repair guidance or VR-based safety simulations—enhance learning efficiency and inclusivity. These immersive tools are particularly valuable for bridging generational gaps in the workforce and encouraging broader participation in technical professions, including greater gender diversity.</w:t>
      </w:r>
    </w:p>
    <w:p w14:paraId="3E00BAB1"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Moreover, the use of data-driven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systems contributes to organizational transparency and accountability, as real-time data on maintenance activities and sustainability metrics can be shared among stakeholders. This promotes a culture of responsibility, trust, and informed decision-making within industrial ecosystems.</w:t>
      </w:r>
    </w:p>
    <w:p w14:paraId="7A12D5DB" w14:textId="4C3F7AE0" w:rsidR="00684193"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From a societal perspective, widespread adoption of sustainable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solutions strengthens regional innovation ecosystems, particularly when supported by public–private partnerships and European research initiatives. Such collaboration leads to the creation of green and digital jobs, helping communities transition toward more resilient, technology-oriented, and sustainable economies.</w:t>
      </w:r>
    </w:p>
    <w:p w14:paraId="6F9ABA25" w14:textId="1216E5E7" w:rsidR="00684193" w:rsidRPr="00684193" w:rsidRDefault="00684193" w:rsidP="00EA78CB">
      <w:pPr>
        <w:pStyle w:val="Heading1"/>
        <w:numPr>
          <w:ilvl w:val="0"/>
          <w:numId w:val="15"/>
        </w:numPr>
        <w:spacing w:after="120"/>
      </w:pPr>
      <w:bookmarkStart w:id="5" w:name="_Toc212336505"/>
      <w:r w:rsidRPr="00684193">
        <w:t>Barriers and Policy Gaps</w:t>
      </w:r>
      <w:bookmarkEnd w:id="5"/>
      <w:r w:rsidRPr="00684193">
        <w:t xml:space="preserve"> </w:t>
      </w:r>
    </w:p>
    <w:p w14:paraId="254BFC09" w14:textId="2BEB1C09"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Despite the increasing recognition of Predictive Maintenance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as a critical enabler of industrial sustainability and competitiveness, several barriers continue to hinder its large-scale implementation across European industries. These barriers span technological, financial, educational, and regulatory domains and highlight the need for a more coherent policy framework that links industrial innovation with environmental and social objectives.</w:t>
      </w:r>
    </w:p>
    <w:p w14:paraId="6F04F7EA"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6.1 Technological Barriers</w:t>
      </w:r>
    </w:p>
    <w:p w14:paraId="378F3C33"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The adoption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and deep tech applications is constrained by fragmented technological infrastructures and a lack of interoperability among industrial systems. Many existing production environments still rely on legacy equipment that was not designed for data-driven monitoring or digital connectivity. Integrating these systems with modern solutions such as Industrial Internet of Things (</w:t>
      </w:r>
      <w:proofErr w:type="spellStart"/>
      <w:r w:rsidRPr="00C606A1">
        <w:rPr>
          <w:rFonts w:asciiTheme="minorHAnsi" w:hAnsiTheme="minorHAnsi"/>
          <w:bCs/>
          <w:sz w:val="22"/>
          <w:szCs w:val="22"/>
        </w:rPr>
        <w:t>IIoT</w:t>
      </w:r>
      <w:proofErr w:type="spellEnd"/>
      <w:r w:rsidRPr="00C606A1">
        <w:rPr>
          <w:rFonts w:asciiTheme="minorHAnsi" w:hAnsiTheme="minorHAnsi"/>
          <w:bCs/>
          <w:sz w:val="22"/>
          <w:szCs w:val="22"/>
        </w:rPr>
        <w:t>), Digital Twins, or AI-based analytics requires substantial technical adaptation and investment.</w:t>
      </w:r>
    </w:p>
    <w:p w14:paraId="1D61FC93"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Another technological barrier lies in the limited standardization of data formats and communication protocols. The absence of unified standards prevents seamless data exchange between different platforms and vendors, reducing scalability and hindering the development of cross-sector maintenance </w:t>
      </w:r>
      <w:r w:rsidRPr="00C606A1">
        <w:rPr>
          <w:rFonts w:asciiTheme="minorHAnsi" w:hAnsiTheme="minorHAnsi"/>
          <w:bCs/>
          <w:sz w:val="22"/>
          <w:szCs w:val="22"/>
        </w:rPr>
        <w:lastRenderedPageBreak/>
        <w:t>ecosystems. Furthermore, data privacy and cybersecurity concerns pose additional challenges, especially when industrial data are shared across organizational or national boundaries.</w:t>
      </w:r>
    </w:p>
    <w:p w14:paraId="0EA1B20A"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6.2 Financial Barriers</w:t>
      </w:r>
    </w:p>
    <w:p w14:paraId="35D6F098"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The implementation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technologies—particularly those involving deep tech components such as AI, robotics, or XR—often entails high initial investment costs in sensors, data infrastructure, and software development. For small and medium-sized enterprises (SMEs), which form the backbone of the European industrial landscape, these costs can be prohibitive.</w:t>
      </w:r>
    </w:p>
    <w:p w14:paraId="46743723"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Even though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can lead to long-term cost savings through reduced downtime and energy consumption, the lack of clear short-term financial incentives discourages early adoption. Additionally, existing funding mechanisms and innovation grants are frequently focused on high-technology sectors, while traditional manufacturing SMEs face difficulties in accessing targeted financial support for digital transformation and sustainability-driven initiatives.</w:t>
      </w:r>
    </w:p>
    <w:p w14:paraId="4832F3D8"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6.3 Human Capital and Skills Gaps</w:t>
      </w:r>
    </w:p>
    <w:p w14:paraId="49666095"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The transition toward deep tech-enabled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requires a multidisciplinary workforce capable of integrating mechanical engineering knowledge with data analytics, software development, and systems integration. However, there is a significant shortage of personnel equipped with these hybrid competencies.</w:t>
      </w:r>
    </w:p>
    <w:p w14:paraId="03A40EE5"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Educational systems and vocational training programs often lag behind technological advancements, offering limited opportunities for reskilling or upskilling in digital maintenance technologies. This gap is particularly visible among experienced maintenance workers, who may lack exposure to advanced digital tools, and among young professionals, who may lack practical industrial experience. Without proactive educational policies and training programs, the pace of deep tech adoption in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will remain slow.</w:t>
      </w:r>
    </w:p>
    <w:p w14:paraId="602BF87C"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6.4 Regulatory and Policy Barriers</w:t>
      </w:r>
    </w:p>
    <w:p w14:paraId="218E3880"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While several European initiatives—such as the Digital Europe Programme and Industry 5.0 framework—encourage the digital transformation of manufacturing, there remains no unified regulatory framework specifically addressing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implementation and its sustainability dimension. Policies tend to focus on innovation and competitiveness but rarely integrate environmental, social, and ethical considerations into industrial maintenance strategies.</w:t>
      </w:r>
    </w:p>
    <w:p w14:paraId="53066848"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Moreover, the lack of standard sustainability metrics for assessing the environmental and social impact of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limits the ability of policymakers and companies to quantify progress. Without such metrics, it is difficult to include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within official sustainability reporting or to link it to green financing mechanisms.</w:t>
      </w:r>
    </w:p>
    <w:p w14:paraId="79ED0EBC"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Finally, existing data governance frameworks often fail to reflect the specific needs of industrial maintenance. Regulations related to data ownership, privacy, and cross-border data flow are not sufficiently adapted to the realities of </w:t>
      </w:r>
      <w:proofErr w:type="spellStart"/>
      <w:r w:rsidRPr="00C606A1">
        <w:rPr>
          <w:rFonts w:asciiTheme="minorHAnsi" w:hAnsiTheme="minorHAnsi"/>
          <w:bCs/>
          <w:sz w:val="22"/>
          <w:szCs w:val="22"/>
        </w:rPr>
        <w:t>IIoT</w:t>
      </w:r>
      <w:proofErr w:type="spellEnd"/>
      <w:r w:rsidRPr="00C606A1">
        <w:rPr>
          <w:rFonts w:asciiTheme="minorHAnsi" w:hAnsiTheme="minorHAnsi"/>
          <w:bCs/>
          <w:sz w:val="22"/>
          <w:szCs w:val="22"/>
        </w:rPr>
        <w:t>-based predictive systems, creating uncertainty and reluctance among industrial stakeholders to share data openly.</w:t>
      </w:r>
    </w:p>
    <w:p w14:paraId="43A6162E"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6.5 Institutional and Collaboration Gaps</w:t>
      </w:r>
    </w:p>
    <w:p w14:paraId="074C4632" w14:textId="77777777" w:rsidR="00C606A1"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t xml:space="preserve">Effective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implementation requires cross-sector collaboration among research institutions, technology providers, industrial enterprises, and policymakers. However, current cooperation frameworks are often fragmented or project-based, lacking long-term institutional mechanisms for knowledge transfer and capacity building.</w:t>
      </w:r>
    </w:p>
    <w:p w14:paraId="05E2F7DC" w14:textId="3806E915" w:rsidR="00684193" w:rsidRPr="00C606A1" w:rsidRDefault="00C606A1" w:rsidP="00C606A1">
      <w:pPr>
        <w:spacing w:before="120" w:after="120"/>
        <w:jc w:val="both"/>
        <w:rPr>
          <w:rFonts w:asciiTheme="minorHAnsi" w:hAnsiTheme="minorHAnsi"/>
          <w:bCs/>
          <w:sz w:val="22"/>
          <w:szCs w:val="22"/>
        </w:rPr>
      </w:pPr>
      <w:r w:rsidRPr="00C606A1">
        <w:rPr>
          <w:rFonts w:asciiTheme="minorHAnsi" w:hAnsiTheme="minorHAnsi"/>
          <w:bCs/>
          <w:sz w:val="22"/>
          <w:szCs w:val="22"/>
        </w:rPr>
        <w:lastRenderedPageBreak/>
        <w:t xml:space="preserve">The absence of regional innovation ecosystems dedicated to </w:t>
      </w:r>
      <w:proofErr w:type="spellStart"/>
      <w:r w:rsidRPr="00C606A1">
        <w:rPr>
          <w:rFonts w:asciiTheme="minorHAnsi" w:hAnsiTheme="minorHAnsi"/>
          <w:bCs/>
          <w:sz w:val="22"/>
          <w:szCs w:val="22"/>
        </w:rPr>
        <w:t>PdM</w:t>
      </w:r>
      <w:proofErr w:type="spellEnd"/>
      <w:r w:rsidRPr="00C606A1">
        <w:rPr>
          <w:rFonts w:asciiTheme="minorHAnsi" w:hAnsiTheme="minorHAnsi"/>
          <w:bCs/>
          <w:sz w:val="22"/>
          <w:szCs w:val="22"/>
        </w:rPr>
        <w:t xml:space="preserve"> and deep tech integration slows down technological diffusion, particularly in less industrially developed regions. Strengthening public–private partnerships and promoting transnational networks under programs such as Horizon Europe or EIT Manufacturing could play a decisive role in bridging these gaps.</w:t>
      </w:r>
    </w:p>
    <w:p w14:paraId="3A1D0ECE" w14:textId="32574672" w:rsidR="00684193" w:rsidRPr="00684193" w:rsidRDefault="00177980" w:rsidP="00EA78CB">
      <w:pPr>
        <w:pStyle w:val="Heading1"/>
        <w:numPr>
          <w:ilvl w:val="0"/>
          <w:numId w:val="15"/>
        </w:numPr>
        <w:spacing w:after="120"/>
      </w:pPr>
      <w:bookmarkStart w:id="6" w:name="_Toc212336506"/>
      <w:r>
        <w:t>Policy Recommendations</w:t>
      </w:r>
      <w:bookmarkEnd w:id="6"/>
    </w:p>
    <w:p w14:paraId="092192F5" w14:textId="225B2BB0" w:rsidR="00F04B1D" w:rsidRPr="00F04B1D" w:rsidRDefault="00F04B1D" w:rsidP="006F30D7">
      <w:pPr>
        <w:spacing w:before="120" w:after="120"/>
        <w:jc w:val="both"/>
        <w:rPr>
          <w:rFonts w:asciiTheme="minorHAnsi" w:hAnsiTheme="minorHAnsi"/>
          <w:bCs/>
          <w:sz w:val="22"/>
          <w:szCs w:val="22"/>
        </w:rPr>
      </w:pPr>
      <w:r w:rsidRPr="00F04B1D">
        <w:rPr>
          <w:rFonts w:asciiTheme="minorHAnsi" w:hAnsiTheme="minorHAnsi"/>
          <w:bCs/>
          <w:sz w:val="22"/>
          <w:szCs w:val="22"/>
        </w:rPr>
        <w:t>To unlock the full potential of deep tech applications in Predictive Maintenance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and to ensure their alignment with environmental and social objectives, a comprehensive policy approach is required. </w:t>
      </w:r>
      <w:r w:rsidR="005C68AA" w:rsidRPr="005C68AA">
        <w:rPr>
          <w:rFonts w:asciiTheme="minorHAnsi" w:hAnsiTheme="minorHAnsi"/>
          <w:bCs/>
          <w:sz w:val="22"/>
          <w:szCs w:val="22"/>
        </w:rPr>
        <w:t xml:space="preserve">Summing up all that was discussed through the comparative analysis and experience of the </w:t>
      </w:r>
      <w:proofErr w:type="spellStart"/>
      <w:r w:rsidR="005C68AA" w:rsidRPr="005C68AA">
        <w:rPr>
          <w:rFonts w:asciiTheme="minorHAnsi" w:hAnsiTheme="minorHAnsi"/>
          <w:bCs/>
          <w:sz w:val="22"/>
          <w:szCs w:val="22"/>
        </w:rPr>
        <w:t>PreVEnT</w:t>
      </w:r>
      <w:proofErr w:type="spellEnd"/>
      <w:r w:rsidR="005C68AA" w:rsidRPr="005C68AA">
        <w:rPr>
          <w:rFonts w:asciiTheme="minorHAnsi" w:hAnsiTheme="minorHAnsi"/>
          <w:bCs/>
          <w:sz w:val="22"/>
          <w:szCs w:val="22"/>
        </w:rPr>
        <w:t xml:space="preserve"> project, this policy brief proposes </w:t>
      </w:r>
      <w:r w:rsidR="006F30D7">
        <w:rPr>
          <w:rFonts w:asciiTheme="minorHAnsi" w:hAnsiTheme="minorHAnsi"/>
          <w:bCs/>
          <w:sz w:val="22"/>
          <w:szCs w:val="22"/>
        </w:rPr>
        <w:t>several</w:t>
      </w:r>
      <w:r w:rsidR="005C68AA" w:rsidRPr="005C68AA">
        <w:rPr>
          <w:rFonts w:asciiTheme="minorHAnsi" w:hAnsiTheme="minorHAnsi"/>
          <w:bCs/>
          <w:sz w:val="22"/>
          <w:szCs w:val="22"/>
        </w:rPr>
        <w:t xml:space="preserve"> points to be considered as policy recommendations for Embedding deep tech applications for solving Predictive Maintenance (PM) challenges with </w:t>
      </w:r>
      <w:r w:rsidR="006F30D7">
        <w:rPr>
          <w:rFonts w:asciiTheme="minorHAnsi" w:hAnsiTheme="minorHAnsi"/>
          <w:bCs/>
          <w:sz w:val="22"/>
          <w:szCs w:val="22"/>
        </w:rPr>
        <w:t xml:space="preserve">environmental and social impact. </w:t>
      </w:r>
      <w:r w:rsidRPr="00F04B1D">
        <w:rPr>
          <w:rFonts w:asciiTheme="minorHAnsi" w:hAnsiTheme="minorHAnsi"/>
          <w:bCs/>
          <w:sz w:val="22"/>
          <w:szCs w:val="22"/>
        </w:rPr>
        <w:t>The following recommendations are structured across five complementary levels—strategic, regulatory, financial, educational, and collaborative—reflecting the need for coordinated action among policymakers, industry stakeholders, academia, and society.</w:t>
      </w:r>
    </w:p>
    <w:p w14:paraId="31E65C06"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7.1 Strategic Level Recommendations</w:t>
      </w:r>
    </w:p>
    <w:p w14:paraId="7F2C97E1"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 xml:space="preserve">Integrate </w:t>
      </w:r>
      <w:proofErr w:type="spellStart"/>
      <w:r w:rsidRPr="00F04B1D">
        <w:rPr>
          <w:rFonts w:asciiTheme="minorHAnsi" w:hAnsiTheme="minorHAnsi"/>
          <w:b/>
          <w:bCs/>
          <w:sz w:val="22"/>
          <w:szCs w:val="22"/>
        </w:rPr>
        <w:t>PdM</w:t>
      </w:r>
      <w:proofErr w:type="spellEnd"/>
      <w:r w:rsidRPr="00F04B1D">
        <w:rPr>
          <w:rFonts w:asciiTheme="minorHAnsi" w:hAnsiTheme="minorHAnsi"/>
          <w:b/>
          <w:bCs/>
          <w:sz w:val="22"/>
          <w:szCs w:val="22"/>
        </w:rPr>
        <w:t xml:space="preserve"> into National and European Industrial Strategies</w:t>
      </w:r>
    </w:p>
    <w:p w14:paraId="64B5EFAA" w14:textId="6B3C30E4" w:rsidR="00F04B1D" w:rsidRPr="00F04B1D" w:rsidRDefault="00F04B1D" w:rsidP="00F04B1D">
      <w:pPr>
        <w:spacing w:before="120" w:after="120"/>
        <w:jc w:val="both"/>
        <w:rPr>
          <w:rFonts w:asciiTheme="minorHAnsi" w:hAnsiTheme="minorHAnsi"/>
          <w:bCs/>
          <w:sz w:val="22"/>
          <w:szCs w:val="22"/>
        </w:rPr>
      </w:pP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should be explicitly recognized as a strategic component of industrial digitalization and sustainability agendas within the EU and national frameworks. Embedding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targets in policy documents such as Industry 5.0 Roadmaps, Digital Europe, and Green Deal Industrial Plan would ensure its visibility and long-term policy support.</w:t>
      </w:r>
    </w:p>
    <w:p w14:paraId="5E5165E1"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Link Predictive Maintenance with Circular Economy Policies</w:t>
      </w:r>
    </w:p>
    <w:p w14:paraId="73BE63C5"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Policies promoting circularity should incorporate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as a mechanism for extending product lifecycles, optimizing resource efficiency, and minimizing industrial waste. This integration would facilitate cross-sectoral synergies between digital transformation and environmental sustainability.</w:t>
      </w:r>
    </w:p>
    <w:p w14:paraId="11A354B8"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Promote Data-Driven Sustainability Management</w:t>
      </w:r>
    </w:p>
    <w:p w14:paraId="41F5D230"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Encourage industries to adopt data-driven maintenance systems capable of measuring energy efficiency, emissions, and resource use in real time. Such systems should be incorporated into broader sustainability monitoring frameworks at both corporate and policy levels.</w:t>
      </w:r>
    </w:p>
    <w:p w14:paraId="5E3E5FC6"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7.2 Regulatory and Standardization Recommendations</w:t>
      </w:r>
    </w:p>
    <w:p w14:paraId="399DCF63"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 xml:space="preserve">Develop Interoperability Standards for </w:t>
      </w:r>
      <w:proofErr w:type="spellStart"/>
      <w:r w:rsidRPr="00F04B1D">
        <w:rPr>
          <w:rFonts w:asciiTheme="minorHAnsi" w:hAnsiTheme="minorHAnsi"/>
          <w:b/>
          <w:bCs/>
          <w:sz w:val="22"/>
          <w:szCs w:val="22"/>
        </w:rPr>
        <w:t>PdM</w:t>
      </w:r>
      <w:proofErr w:type="spellEnd"/>
      <w:r w:rsidRPr="00F04B1D">
        <w:rPr>
          <w:rFonts w:asciiTheme="minorHAnsi" w:hAnsiTheme="minorHAnsi"/>
          <w:b/>
          <w:bCs/>
          <w:sz w:val="22"/>
          <w:szCs w:val="22"/>
        </w:rPr>
        <w:t xml:space="preserve"> Systems</w:t>
      </w:r>
    </w:p>
    <w:p w14:paraId="7629EC18"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Establish unified standards for data communication, interoperability, and integration among </w:t>
      </w:r>
      <w:proofErr w:type="spellStart"/>
      <w:r w:rsidRPr="00F04B1D">
        <w:rPr>
          <w:rFonts w:asciiTheme="minorHAnsi" w:hAnsiTheme="minorHAnsi"/>
          <w:bCs/>
          <w:sz w:val="22"/>
          <w:szCs w:val="22"/>
        </w:rPr>
        <w:t>IIoT</w:t>
      </w:r>
      <w:proofErr w:type="spellEnd"/>
      <w:r w:rsidRPr="00F04B1D">
        <w:rPr>
          <w:rFonts w:asciiTheme="minorHAnsi" w:hAnsiTheme="minorHAnsi"/>
          <w:bCs/>
          <w:sz w:val="22"/>
          <w:szCs w:val="22"/>
        </w:rPr>
        <w:t>, AI, and digital twin platforms. These standards should be developed in collaboration with European standardization bodies (CEN/CENELEC, ETSI) to ensure cross-border compatibility and scalability.</w:t>
      </w:r>
    </w:p>
    <w:p w14:paraId="30F70136"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Implement Guidelines for Data Governance and Cybersecurity</w:t>
      </w:r>
    </w:p>
    <w:p w14:paraId="0EF63283"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Introduce sector-specific regulatory frameworks defining data ownership, sharing protocols, and cybersecurity measures for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systems. This would enhance trust in industrial data ecosystems and facilitate secure collaboration between stakeholders.</w:t>
      </w:r>
    </w:p>
    <w:p w14:paraId="12D73E86"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Introduce Sustainability Metrics for Predictive Maintenance</w:t>
      </w:r>
    </w:p>
    <w:p w14:paraId="66865040"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Create standardized methodologies for assessing the environmental and social impact of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technologies. These metrics should be integrated into existing sustainability reporting schemes (e.g., CSRD, EU Taxonomy) to quantify </w:t>
      </w:r>
      <w:proofErr w:type="spellStart"/>
      <w:r w:rsidRPr="00F04B1D">
        <w:rPr>
          <w:rFonts w:asciiTheme="minorHAnsi" w:hAnsiTheme="minorHAnsi"/>
          <w:bCs/>
          <w:sz w:val="22"/>
          <w:szCs w:val="22"/>
        </w:rPr>
        <w:t>PdM’s</w:t>
      </w:r>
      <w:proofErr w:type="spellEnd"/>
      <w:r w:rsidRPr="00F04B1D">
        <w:rPr>
          <w:rFonts w:asciiTheme="minorHAnsi" w:hAnsiTheme="minorHAnsi"/>
          <w:bCs/>
          <w:sz w:val="22"/>
          <w:szCs w:val="22"/>
        </w:rPr>
        <w:t xml:space="preserve"> contribution to </w:t>
      </w:r>
      <w:proofErr w:type="spellStart"/>
      <w:r w:rsidRPr="00F04B1D">
        <w:rPr>
          <w:rFonts w:asciiTheme="minorHAnsi" w:hAnsiTheme="minorHAnsi"/>
          <w:bCs/>
          <w:sz w:val="22"/>
          <w:szCs w:val="22"/>
        </w:rPr>
        <w:t>decarbonization</w:t>
      </w:r>
      <w:proofErr w:type="spellEnd"/>
      <w:r w:rsidRPr="00F04B1D">
        <w:rPr>
          <w:rFonts w:asciiTheme="minorHAnsi" w:hAnsiTheme="minorHAnsi"/>
          <w:bCs/>
          <w:sz w:val="22"/>
          <w:szCs w:val="22"/>
        </w:rPr>
        <w:t xml:space="preserve"> and social well-being.</w:t>
      </w:r>
    </w:p>
    <w:p w14:paraId="49C1A295" w14:textId="77777777" w:rsidR="00F04B1D" w:rsidRPr="00F04B1D" w:rsidRDefault="00F04B1D" w:rsidP="00F04B1D">
      <w:pPr>
        <w:spacing w:before="120" w:after="120"/>
        <w:jc w:val="both"/>
        <w:rPr>
          <w:rFonts w:asciiTheme="minorHAnsi" w:hAnsiTheme="minorHAnsi"/>
          <w:bCs/>
          <w:sz w:val="22"/>
          <w:szCs w:val="22"/>
        </w:rPr>
      </w:pPr>
    </w:p>
    <w:p w14:paraId="24870738"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lastRenderedPageBreak/>
        <w:t>7.3 Financial and Incentive-Based Recommendations</w:t>
      </w:r>
    </w:p>
    <w:p w14:paraId="3003C3B0"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Establish Targeted Funding Schemes for SMEs</w:t>
      </w:r>
    </w:p>
    <w:p w14:paraId="1B77017E"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Launch dedicated financial instruments to support small and medium-sized enterprises in adopting deep tech-enabled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systems. This may include grants, tax incentives, or low-interest loans for technology acquisition, pilot testing, and system integration.</w:t>
      </w:r>
    </w:p>
    <w:p w14:paraId="5510426C"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Encourage Green and Digital Investment Synergies</w:t>
      </w:r>
    </w:p>
    <w:p w14:paraId="6BD11E1F"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Align industrial investment programs with environmental sustainability goals by rewarding companies that demonstrate both technological innovation and measurable ecological benefits through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implementation.</w:t>
      </w:r>
    </w:p>
    <w:p w14:paraId="77AD5065"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Support Public Procurement of Innovative Maintenance Solutions</w:t>
      </w:r>
    </w:p>
    <w:p w14:paraId="4EF21C0A"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Introduce public procurement schemes that prioritize products and services incorporating predictive and sustainable maintenance capabilities, stimulating innovation through market demand.</w:t>
      </w:r>
    </w:p>
    <w:p w14:paraId="318E2AC4"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7.4 Educational and Capacity-Building Recommendations</w:t>
      </w:r>
    </w:p>
    <w:p w14:paraId="6EA20784"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 xml:space="preserve">Integrate Deep Tech and </w:t>
      </w:r>
      <w:proofErr w:type="spellStart"/>
      <w:r w:rsidRPr="00F04B1D">
        <w:rPr>
          <w:rFonts w:asciiTheme="minorHAnsi" w:hAnsiTheme="minorHAnsi"/>
          <w:b/>
          <w:bCs/>
          <w:sz w:val="22"/>
          <w:szCs w:val="22"/>
        </w:rPr>
        <w:t>PdM</w:t>
      </w:r>
      <w:proofErr w:type="spellEnd"/>
      <w:r w:rsidRPr="00F04B1D">
        <w:rPr>
          <w:rFonts w:asciiTheme="minorHAnsi" w:hAnsiTheme="minorHAnsi"/>
          <w:b/>
          <w:bCs/>
          <w:sz w:val="22"/>
          <w:szCs w:val="22"/>
        </w:rPr>
        <w:t xml:space="preserve"> into Vocational and Higher Education Curricula</w:t>
      </w:r>
    </w:p>
    <w:p w14:paraId="59073748"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Encourage educational institutions and VET (Vocational Education and Training) providers to introduce interdisciplinary programs combining mechanical engineering, data science, and sustainability. This will build a workforce capable of managing and developing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technologies.</w:t>
      </w:r>
    </w:p>
    <w:p w14:paraId="39825FD3"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Promote Lifelong Learning and Reskilling Initiatives</w:t>
      </w:r>
    </w:p>
    <w:p w14:paraId="59A2F9D7"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Develop reskilling programs for existing industrial workers to help them adapt to digital maintenance environments. Such programs should include practical training in AI-based diagnostics, </w:t>
      </w:r>
      <w:proofErr w:type="spellStart"/>
      <w:r w:rsidRPr="00F04B1D">
        <w:rPr>
          <w:rFonts w:asciiTheme="minorHAnsi" w:hAnsiTheme="minorHAnsi"/>
          <w:bCs/>
          <w:sz w:val="22"/>
          <w:szCs w:val="22"/>
        </w:rPr>
        <w:t>IIoT</w:t>
      </w:r>
      <w:proofErr w:type="spellEnd"/>
      <w:r w:rsidRPr="00F04B1D">
        <w:rPr>
          <w:rFonts w:asciiTheme="minorHAnsi" w:hAnsiTheme="minorHAnsi"/>
          <w:bCs/>
          <w:sz w:val="22"/>
          <w:szCs w:val="22"/>
        </w:rPr>
        <w:t xml:space="preserve"> systems, and XR-assisted maintenance.</w:t>
      </w:r>
    </w:p>
    <w:p w14:paraId="296CEF36"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Foster Gender Equality and Inclusion in Deep Tech Fields</w:t>
      </w:r>
    </w:p>
    <w:p w14:paraId="5321B099"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Introduce targeted scholarships and mentoring programs to increase the participation of women and underrepresented groups in technical education and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-related professions, contributing to the social dimension of sustainable innovation.</w:t>
      </w:r>
    </w:p>
    <w:p w14:paraId="3EC990B6"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7.5 Partnership and Ecosystem Recommendations</w:t>
      </w:r>
    </w:p>
    <w:p w14:paraId="7991D46E"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Strengthen Public–Private Partnerships (PPPs)</w:t>
      </w:r>
    </w:p>
    <w:p w14:paraId="6A8F7F1D"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Encourage collaboration between industry, academia, and research institutions through PPPs focused on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innovation, demonstration projects, and technology transfer. These partnerships should align with EU initiatives such as Horizon Europe, EIT Manufacturing, and Digital Europe.</w:t>
      </w:r>
    </w:p>
    <w:p w14:paraId="5B9E4540"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 xml:space="preserve">Support Regional Innovation Hubs for </w:t>
      </w:r>
      <w:proofErr w:type="spellStart"/>
      <w:r w:rsidRPr="00F04B1D">
        <w:rPr>
          <w:rFonts w:asciiTheme="minorHAnsi" w:hAnsiTheme="minorHAnsi"/>
          <w:b/>
          <w:bCs/>
          <w:sz w:val="22"/>
          <w:szCs w:val="22"/>
        </w:rPr>
        <w:t>PdM</w:t>
      </w:r>
      <w:proofErr w:type="spellEnd"/>
      <w:r w:rsidRPr="00F04B1D">
        <w:rPr>
          <w:rFonts w:asciiTheme="minorHAnsi" w:hAnsiTheme="minorHAnsi"/>
          <w:b/>
          <w:bCs/>
          <w:sz w:val="22"/>
          <w:szCs w:val="22"/>
        </w:rPr>
        <w:t xml:space="preserve"> and Deep Tech Integration</w:t>
      </w:r>
    </w:p>
    <w:p w14:paraId="61D39378"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Establish regional </w:t>
      </w:r>
      <w:proofErr w:type="spellStart"/>
      <w:r w:rsidRPr="00F04B1D">
        <w:rPr>
          <w:rFonts w:asciiTheme="minorHAnsi" w:hAnsiTheme="minorHAnsi"/>
          <w:bCs/>
          <w:sz w:val="22"/>
          <w:szCs w:val="22"/>
        </w:rPr>
        <w:t>centers</w:t>
      </w:r>
      <w:proofErr w:type="spellEnd"/>
      <w:r w:rsidRPr="00F04B1D">
        <w:rPr>
          <w:rFonts w:asciiTheme="minorHAnsi" w:hAnsiTheme="minorHAnsi"/>
          <w:bCs/>
          <w:sz w:val="22"/>
          <w:szCs w:val="22"/>
        </w:rPr>
        <w:t xml:space="preserve"> of excellence and testbeds that facilitate experimentation, standardization, and knowledge sharing in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Such hubs would enable SMEs and educational institutions to access advanced infrastructure and expertise.</w:t>
      </w:r>
    </w:p>
    <w:p w14:paraId="3DE9A291" w14:textId="77777777" w:rsidR="00F04B1D" w:rsidRPr="00F04B1D" w:rsidRDefault="00F04B1D" w:rsidP="00F04B1D">
      <w:pPr>
        <w:spacing w:before="120" w:after="120"/>
        <w:jc w:val="both"/>
        <w:rPr>
          <w:rFonts w:asciiTheme="minorHAnsi" w:hAnsiTheme="minorHAnsi"/>
          <w:b/>
          <w:bCs/>
          <w:sz w:val="22"/>
          <w:szCs w:val="22"/>
        </w:rPr>
      </w:pPr>
      <w:r w:rsidRPr="00F04B1D">
        <w:rPr>
          <w:rFonts w:asciiTheme="minorHAnsi" w:hAnsiTheme="minorHAnsi"/>
          <w:b/>
          <w:bCs/>
          <w:sz w:val="22"/>
          <w:szCs w:val="22"/>
        </w:rPr>
        <w:t>Enhance International Cooperation and Knowledge Exchange</w:t>
      </w:r>
    </w:p>
    <w:p w14:paraId="470E6D17"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 xml:space="preserve">Promote international collaboration in research and policy development on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and deep tech through joint EU and global initiatives. This would ensure the harmonization of standards, strengthen competitiveness, and accelerate the transition to sustainable industrial ecosystems.</w:t>
      </w:r>
    </w:p>
    <w:p w14:paraId="0F7BF216" w14:textId="77777777" w:rsidR="00F04B1D" w:rsidRPr="00F04B1D" w:rsidRDefault="00F04B1D" w:rsidP="00F04B1D">
      <w:pPr>
        <w:spacing w:before="120" w:after="120"/>
        <w:jc w:val="both"/>
        <w:rPr>
          <w:rFonts w:asciiTheme="minorHAnsi" w:hAnsiTheme="minorHAnsi"/>
          <w:bCs/>
          <w:sz w:val="22"/>
          <w:szCs w:val="22"/>
        </w:rPr>
      </w:pPr>
    </w:p>
    <w:p w14:paraId="2102EA98"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lastRenderedPageBreak/>
        <w:t>7.6 Summary of Policy Priorities</w:t>
      </w:r>
    </w:p>
    <w:p w14:paraId="6623A873" w14:textId="77777777" w:rsidR="00F04B1D" w:rsidRPr="00F04B1D" w:rsidRDefault="00F04B1D" w:rsidP="00F04B1D">
      <w:pPr>
        <w:spacing w:before="120" w:after="120"/>
        <w:jc w:val="both"/>
        <w:rPr>
          <w:rFonts w:asciiTheme="minorHAnsi" w:hAnsiTheme="minorHAnsi"/>
          <w:bCs/>
          <w:sz w:val="22"/>
          <w:szCs w:val="22"/>
        </w:rPr>
      </w:pPr>
      <w:r w:rsidRPr="00F04B1D">
        <w:rPr>
          <w:rFonts w:asciiTheme="minorHAnsi" w:hAnsiTheme="minorHAnsi"/>
          <w:bCs/>
          <w:sz w:val="22"/>
          <w:szCs w:val="22"/>
        </w:rPr>
        <w:t>To achieve systemic impact, policy actions should prioritize:</w:t>
      </w:r>
    </w:p>
    <w:p w14:paraId="4E10D033" w14:textId="77777777" w:rsidR="00F04B1D" w:rsidRPr="00F04B1D" w:rsidRDefault="00F04B1D" w:rsidP="00F04B1D">
      <w:pPr>
        <w:pStyle w:val="ListParagraph"/>
        <w:numPr>
          <w:ilvl w:val="0"/>
          <w:numId w:val="17"/>
        </w:numPr>
        <w:spacing w:before="120" w:after="120"/>
        <w:jc w:val="both"/>
        <w:rPr>
          <w:rFonts w:asciiTheme="minorHAnsi" w:hAnsiTheme="minorHAnsi"/>
          <w:bCs/>
          <w:sz w:val="22"/>
          <w:szCs w:val="22"/>
        </w:rPr>
      </w:pPr>
      <w:r w:rsidRPr="00F04B1D">
        <w:rPr>
          <w:rFonts w:asciiTheme="minorHAnsi" w:hAnsiTheme="minorHAnsi"/>
          <w:bCs/>
          <w:sz w:val="22"/>
          <w:szCs w:val="22"/>
        </w:rPr>
        <w:t>establishing a coherent regulatory and standardization framework;</w:t>
      </w:r>
    </w:p>
    <w:p w14:paraId="645CA2BE" w14:textId="77777777" w:rsidR="00F04B1D" w:rsidRPr="00F04B1D" w:rsidRDefault="00F04B1D" w:rsidP="00F04B1D">
      <w:pPr>
        <w:pStyle w:val="ListParagraph"/>
        <w:numPr>
          <w:ilvl w:val="0"/>
          <w:numId w:val="17"/>
        </w:numPr>
        <w:spacing w:before="120" w:after="120"/>
        <w:jc w:val="both"/>
        <w:rPr>
          <w:rFonts w:asciiTheme="minorHAnsi" w:hAnsiTheme="minorHAnsi"/>
          <w:bCs/>
          <w:sz w:val="22"/>
          <w:szCs w:val="22"/>
        </w:rPr>
      </w:pPr>
      <w:r w:rsidRPr="00F04B1D">
        <w:rPr>
          <w:rFonts w:asciiTheme="minorHAnsi" w:hAnsiTheme="minorHAnsi"/>
          <w:bCs/>
          <w:sz w:val="22"/>
          <w:szCs w:val="22"/>
        </w:rPr>
        <w:t>ensuring accessibility of deep tech solutions for SMEs;</w:t>
      </w:r>
    </w:p>
    <w:p w14:paraId="2E1E7901" w14:textId="77777777" w:rsidR="00F04B1D" w:rsidRPr="00F04B1D" w:rsidRDefault="00F04B1D" w:rsidP="00F04B1D">
      <w:pPr>
        <w:pStyle w:val="ListParagraph"/>
        <w:numPr>
          <w:ilvl w:val="0"/>
          <w:numId w:val="17"/>
        </w:numPr>
        <w:spacing w:before="120" w:after="120"/>
        <w:jc w:val="both"/>
        <w:rPr>
          <w:rFonts w:asciiTheme="minorHAnsi" w:hAnsiTheme="minorHAnsi"/>
          <w:bCs/>
          <w:sz w:val="22"/>
          <w:szCs w:val="22"/>
        </w:rPr>
      </w:pPr>
      <w:r w:rsidRPr="00F04B1D">
        <w:rPr>
          <w:rFonts w:asciiTheme="minorHAnsi" w:hAnsiTheme="minorHAnsi"/>
          <w:bCs/>
          <w:sz w:val="22"/>
          <w:szCs w:val="22"/>
        </w:rPr>
        <w:t xml:space="preserve">integrating </w:t>
      </w:r>
      <w:proofErr w:type="spellStart"/>
      <w:r w:rsidRPr="00F04B1D">
        <w:rPr>
          <w:rFonts w:asciiTheme="minorHAnsi" w:hAnsiTheme="minorHAnsi"/>
          <w:bCs/>
          <w:sz w:val="22"/>
          <w:szCs w:val="22"/>
        </w:rPr>
        <w:t>PdM</w:t>
      </w:r>
      <w:proofErr w:type="spellEnd"/>
      <w:r w:rsidRPr="00F04B1D">
        <w:rPr>
          <w:rFonts w:asciiTheme="minorHAnsi" w:hAnsiTheme="minorHAnsi"/>
          <w:bCs/>
          <w:sz w:val="22"/>
          <w:szCs w:val="22"/>
        </w:rPr>
        <w:t xml:space="preserve"> within circular economy and sustainability strategies;</w:t>
      </w:r>
    </w:p>
    <w:p w14:paraId="23623B0E" w14:textId="77777777" w:rsidR="00F04B1D" w:rsidRDefault="00F04B1D" w:rsidP="00F04B1D">
      <w:pPr>
        <w:pStyle w:val="ListParagraph"/>
        <w:numPr>
          <w:ilvl w:val="0"/>
          <w:numId w:val="17"/>
        </w:numPr>
        <w:spacing w:before="120" w:after="120"/>
        <w:jc w:val="both"/>
        <w:rPr>
          <w:rFonts w:asciiTheme="minorHAnsi" w:hAnsiTheme="minorHAnsi"/>
          <w:bCs/>
          <w:sz w:val="22"/>
          <w:szCs w:val="22"/>
        </w:rPr>
      </w:pPr>
      <w:r w:rsidRPr="00F04B1D">
        <w:rPr>
          <w:rFonts w:asciiTheme="minorHAnsi" w:hAnsiTheme="minorHAnsi"/>
          <w:bCs/>
          <w:sz w:val="22"/>
          <w:szCs w:val="22"/>
        </w:rPr>
        <w:t>investing in digital and green skills development; and</w:t>
      </w:r>
    </w:p>
    <w:p w14:paraId="72BCC2BD" w14:textId="2EBCFDD2" w:rsidR="00F04B1D" w:rsidRPr="00F04B1D" w:rsidRDefault="00F04B1D" w:rsidP="00F04B1D">
      <w:pPr>
        <w:pStyle w:val="ListParagraph"/>
        <w:numPr>
          <w:ilvl w:val="0"/>
          <w:numId w:val="17"/>
        </w:numPr>
        <w:spacing w:before="120" w:after="120"/>
        <w:jc w:val="both"/>
        <w:rPr>
          <w:rFonts w:asciiTheme="minorHAnsi" w:hAnsiTheme="minorHAnsi"/>
          <w:bCs/>
          <w:sz w:val="22"/>
          <w:szCs w:val="22"/>
        </w:rPr>
      </w:pPr>
      <w:proofErr w:type="gramStart"/>
      <w:r w:rsidRPr="00F04B1D">
        <w:rPr>
          <w:rFonts w:asciiTheme="minorHAnsi" w:hAnsiTheme="minorHAnsi"/>
          <w:bCs/>
          <w:sz w:val="22"/>
          <w:szCs w:val="22"/>
        </w:rPr>
        <w:t>fostering</w:t>
      </w:r>
      <w:proofErr w:type="gramEnd"/>
      <w:r w:rsidRPr="00F04B1D">
        <w:rPr>
          <w:rFonts w:asciiTheme="minorHAnsi" w:hAnsiTheme="minorHAnsi"/>
          <w:bCs/>
          <w:sz w:val="22"/>
          <w:szCs w:val="22"/>
        </w:rPr>
        <w:t xml:space="preserve"> long-term cross-sectoral cooperation through innovation partnerships.</w:t>
      </w:r>
    </w:p>
    <w:p w14:paraId="7DB811EE" w14:textId="47783250" w:rsidR="00684193" w:rsidRPr="00F04B1D" w:rsidRDefault="00F04B1D" w:rsidP="00F04B1D">
      <w:pPr>
        <w:spacing w:before="480" w:after="120"/>
        <w:jc w:val="both"/>
        <w:rPr>
          <w:rFonts w:asciiTheme="minorHAnsi" w:hAnsiTheme="minorHAnsi"/>
          <w:bCs/>
          <w:sz w:val="22"/>
          <w:szCs w:val="22"/>
        </w:rPr>
      </w:pPr>
      <w:r w:rsidRPr="00F04B1D">
        <w:rPr>
          <w:rFonts w:asciiTheme="minorHAnsi" w:hAnsiTheme="minorHAnsi"/>
          <w:bCs/>
          <w:sz w:val="22"/>
          <w:szCs w:val="22"/>
        </w:rPr>
        <w:t>Together, these measures can transform Predictive Maintenance from a purely technical solution into a strategic lever for sustainable industrial and societal progress.</w:t>
      </w:r>
    </w:p>
    <w:p w14:paraId="059ED95F" w14:textId="6DC988D5" w:rsidR="00684193" w:rsidRPr="00684193" w:rsidRDefault="00684193" w:rsidP="00EA78CB">
      <w:pPr>
        <w:pStyle w:val="Heading1"/>
        <w:numPr>
          <w:ilvl w:val="0"/>
          <w:numId w:val="15"/>
        </w:numPr>
        <w:spacing w:after="120"/>
      </w:pPr>
      <w:bookmarkStart w:id="7" w:name="_Toc212336507"/>
      <w:r w:rsidRPr="00684193">
        <w:t>Conclusion</w:t>
      </w:r>
      <w:bookmarkEnd w:id="7"/>
      <w:r w:rsidRPr="00684193">
        <w:t xml:space="preserve"> </w:t>
      </w:r>
    </w:p>
    <w:p w14:paraId="46F91287" w14:textId="77777777" w:rsidR="006E758E" w:rsidRPr="006E758E" w:rsidRDefault="006E758E" w:rsidP="006E758E">
      <w:pPr>
        <w:spacing w:before="120" w:after="120"/>
        <w:jc w:val="both"/>
        <w:rPr>
          <w:rFonts w:asciiTheme="minorHAnsi" w:hAnsiTheme="minorHAnsi"/>
          <w:bCs/>
          <w:sz w:val="22"/>
          <w:szCs w:val="22"/>
        </w:rPr>
      </w:pPr>
      <w:r w:rsidRPr="006E758E">
        <w:rPr>
          <w:rFonts w:asciiTheme="minorHAnsi" w:hAnsiTheme="minorHAnsi"/>
          <w:bCs/>
          <w:sz w:val="22"/>
          <w:szCs w:val="22"/>
        </w:rPr>
        <w:t>The integration of deep technologies into Predictive Maintenance (</w:t>
      </w:r>
      <w:proofErr w:type="spellStart"/>
      <w:r w:rsidRPr="006E758E">
        <w:rPr>
          <w:rFonts w:asciiTheme="minorHAnsi" w:hAnsiTheme="minorHAnsi"/>
          <w:bCs/>
          <w:sz w:val="22"/>
          <w:szCs w:val="22"/>
        </w:rPr>
        <w:t>PdM</w:t>
      </w:r>
      <w:proofErr w:type="spellEnd"/>
      <w:r w:rsidRPr="006E758E">
        <w:rPr>
          <w:rFonts w:asciiTheme="minorHAnsi" w:hAnsiTheme="minorHAnsi"/>
          <w:bCs/>
          <w:sz w:val="22"/>
          <w:szCs w:val="22"/>
        </w:rPr>
        <w:t xml:space="preserve">) represents a transformative opportunity for European industry. Beyond improving operational efficiency and reducing costs, </w:t>
      </w:r>
      <w:proofErr w:type="spellStart"/>
      <w:r w:rsidRPr="006E758E">
        <w:rPr>
          <w:rFonts w:asciiTheme="minorHAnsi" w:hAnsiTheme="minorHAnsi"/>
          <w:bCs/>
          <w:sz w:val="22"/>
          <w:szCs w:val="22"/>
        </w:rPr>
        <w:t>PdM</w:t>
      </w:r>
      <w:proofErr w:type="spellEnd"/>
      <w:r w:rsidRPr="006E758E">
        <w:rPr>
          <w:rFonts w:asciiTheme="minorHAnsi" w:hAnsiTheme="minorHAnsi"/>
          <w:bCs/>
          <w:sz w:val="22"/>
          <w:szCs w:val="22"/>
        </w:rPr>
        <w:t xml:space="preserve"> acts as a catalyst for sustainability, resilience, and social responsibility—key pillars of the European Green Deal and the Industry 5.0 vision.</w:t>
      </w:r>
    </w:p>
    <w:p w14:paraId="6B937849" w14:textId="77777777" w:rsidR="006E758E" w:rsidRPr="006E758E" w:rsidRDefault="006E758E" w:rsidP="006E758E">
      <w:pPr>
        <w:spacing w:before="120" w:after="120"/>
        <w:jc w:val="both"/>
        <w:rPr>
          <w:rFonts w:asciiTheme="minorHAnsi" w:hAnsiTheme="minorHAnsi"/>
          <w:bCs/>
          <w:sz w:val="22"/>
          <w:szCs w:val="22"/>
        </w:rPr>
      </w:pPr>
      <w:r w:rsidRPr="006E758E">
        <w:rPr>
          <w:rFonts w:asciiTheme="minorHAnsi" w:hAnsiTheme="minorHAnsi"/>
          <w:bCs/>
          <w:sz w:val="22"/>
          <w:szCs w:val="22"/>
        </w:rPr>
        <w:t xml:space="preserve">The analysis presented throughout this paper demonstrates that </w:t>
      </w:r>
      <w:proofErr w:type="spellStart"/>
      <w:r w:rsidRPr="006E758E">
        <w:rPr>
          <w:rFonts w:asciiTheme="minorHAnsi" w:hAnsiTheme="minorHAnsi"/>
          <w:bCs/>
          <w:sz w:val="22"/>
          <w:szCs w:val="22"/>
        </w:rPr>
        <w:t>PdM</w:t>
      </w:r>
      <w:proofErr w:type="spellEnd"/>
      <w:r w:rsidRPr="006E758E">
        <w:rPr>
          <w:rFonts w:asciiTheme="minorHAnsi" w:hAnsiTheme="minorHAnsi"/>
          <w:bCs/>
          <w:sz w:val="22"/>
          <w:szCs w:val="22"/>
        </w:rPr>
        <w:t xml:space="preserve"> can substantially extend machinery lifecycles, minimize waste, and support resource efficiency by leveraging data-driven insights and advanced sensing technologies. However, its full potential can only be realized through coordinated policy action that bridges the technological, educational, and regulatory domains.</w:t>
      </w:r>
    </w:p>
    <w:p w14:paraId="5BF65452" w14:textId="77777777" w:rsidR="006E758E" w:rsidRPr="006E758E" w:rsidRDefault="006E758E" w:rsidP="006E758E">
      <w:pPr>
        <w:spacing w:before="120" w:after="120"/>
        <w:jc w:val="both"/>
        <w:rPr>
          <w:rFonts w:asciiTheme="minorHAnsi" w:hAnsiTheme="minorHAnsi"/>
          <w:bCs/>
          <w:sz w:val="22"/>
          <w:szCs w:val="22"/>
        </w:rPr>
      </w:pPr>
      <w:r w:rsidRPr="006E758E">
        <w:rPr>
          <w:rFonts w:asciiTheme="minorHAnsi" w:hAnsiTheme="minorHAnsi"/>
          <w:bCs/>
          <w:sz w:val="22"/>
          <w:szCs w:val="22"/>
        </w:rPr>
        <w:t>To achieve this, it is essential to:</w:t>
      </w:r>
    </w:p>
    <w:p w14:paraId="6A3B04CA" w14:textId="77777777" w:rsidR="006E758E" w:rsidRPr="006E758E" w:rsidRDefault="006E758E" w:rsidP="006E758E">
      <w:pPr>
        <w:pStyle w:val="ListParagraph"/>
        <w:numPr>
          <w:ilvl w:val="0"/>
          <w:numId w:val="18"/>
        </w:numPr>
        <w:spacing w:before="120" w:after="120"/>
        <w:jc w:val="both"/>
        <w:rPr>
          <w:rFonts w:asciiTheme="minorHAnsi" w:hAnsiTheme="minorHAnsi"/>
          <w:bCs/>
          <w:sz w:val="22"/>
          <w:szCs w:val="22"/>
        </w:rPr>
      </w:pPr>
      <w:r w:rsidRPr="006E758E">
        <w:rPr>
          <w:rFonts w:asciiTheme="minorHAnsi" w:hAnsiTheme="minorHAnsi"/>
          <w:bCs/>
          <w:sz w:val="22"/>
          <w:szCs w:val="22"/>
        </w:rPr>
        <w:t xml:space="preserve">Align </w:t>
      </w:r>
      <w:proofErr w:type="spellStart"/>
      <w:r w:rsidRPr="006E758E">
        <w:rPr>
          <w:rFonts w:asciiTheme="minorHAnsi" w:hAnsiTheme="minorHAnsi"/>
          <w:bCs/>
          <w:sz w:val="22"/>
          <w:szCs w:val="22"/>
        </w:rPr>
        <w:t>PdM</w:t>
      </w:r>
      <w:proofErr w:type="spellEnd"/>
      <w:r w:rsidRPr="006E758E">
        <w:rPr>
          <w:rFonts w:asciiTheme="minorHAnsi" w:hAnsiTheme="minorHAnsi"/>
          <w:bCs/>
          <w:sz w:val="22"/>
          <w:szCs w:val="22"/>
        </w:rPr>
        <w:t xml:space="preserve"> with broader sustainability and digitalization frameworks, ensuring coherence across industrial, environmental, and innovation policies;</w:t>
      </w:r>
    </w:p>
    <w:p w14:paraId="5883CDC8" w14:textId="77777777" w:rsidR="006E758E" w:rsidRPr="006E758E" w:rsidRDefault="006E758E" w:rsidP="006E758E">
      <w:pPr>
        <w:pStyle w:val="ListParagraph"/>
        <w:numPr>
          <w:ilvl w:val="0"/>
          <w:numId w:val="18"/>
        </w:numPr>
        <w:spacing w:before="120" w:after="120"/>
        <w:jc w:val="both"/>
        <w:rPr>
          <w:rFonts w:asciiTheme="minorHAnsi" w:hAnsiTheme="minorHAnsi"/>
          <w:bCs/>
          <w:sz w:val="22"/>
          <w:szCs w:val="22"/>
        </w:rPr>
      </w:pPr>
      <w:r w:rsidRPr="006E758E">
        <w:rPr>
          <w:rFonts w:asciiTheme="minorHAnsi" w:hAnsiTheme="minorHAnsi"/>
          <w:bCs/>
          <w:sz w:val="22"/>
          <w:szCs w:val="22"/>
        </w:rPr>
        <w:t>Foster standardization and data governance, creating trust-based and interoperable digital ecosystems;</w:t>
      </w:r>
    </w:p>
    <w:p w14:paraId="15F9D573" w14:textId="77777777" w:rsidR="006E758E" w:rsidRPr="006E758E" w:rsidRDefault="006E758E" w:rsidP="006E758E">
      <w:pPr>
        <w:pStyle w:val="ListParagraph"/>
        <w:numPr>
          <w:ilvl w:val="0"/>
          <w:numId w:val="18"/>
        </w:numPr>
        <w:spacing w:before="120" w:after="120"/>
        <w:jc w:val="both"/>
        <w:rPr>
          <w:rFonts w:asciiTheme="minorHAnsi" w:hAnsiTheme="minorHAnsi"/>
          <w:bCs/>
          <w:sz w:val="22"/>
          <w:szCs w:val="22"/>
        </w:rPr>
      </w:pPr>
      <w:r w:rsidRPr="006E758E">
        <w:rPr>
          <w:rFonts w:asciiTheme="minorHAnsi" w:hAnsiTheme="minorHAnsi"/>
          <w:bCs/>
          <w:sz w:val="22"/>
          <w:szCs w:val="22"/>
        </w:rPr>
        <w:t>Empower the workforce through targeted education and reskilling programs that integrate deep tech and sustainability competencies; and</w:t>
      </w:r>
    </w:p>
    <w:p w14:paraId="05F9125B" w14:textId="77777777" w:rsidR="006E758E" w:rsidRPr="006E758E" w:rsidRDefault="006E758E" w:rsidP="006E758E">
      <w:pPr>
        <w:pStyle w:val="ListParagraph"/>
        <w:numPr>
          <w:ilvl w:val="0"/>
          <w:numId w:val="18"/>
        </w:numPr>
        <w:spacing w:before="120" w:after="120"/>
        <w:jc w:val="both"/>
        <w:rPr>
          <w:rFonts w:asciiTheme="minorHAnsi" w:hAnsiTheme="minorHAnsi"/>
          <w:bCs/>
          <w:sz w:val="22"/>
          <w:szCs w:val="22"/>
        </w:rPr>
      </w:pPr>
      <w:r w:rsidRPr="006E758E">
        <w:rPr>
          <w:rFonts w:asciiTheme="minorHAnsi" w:hAnsiTheme="minorHAnsi"/>
          <w:bCs/>
          <w:sz w:val="22"/>
          <w:szCs w:val="22"/>
        </w:rPr>
        <w:t xml:space="preserve">Support cross-sectoral partnerships and financial mechanisms that accelerate the adoption of </w:t>
      </w:r>
      <w:proofErr w:type="spellStart"/>
      <w:r w:rsidRPr="006E758E">
        <w:rPr>
          <w:rFonts w:asciiTheme="minorHAnsi" w:hAnsiTheme="minorHAnsi"/>
          <w:bCs/>
          <w:sz w:val="22"/>
          <w:szCs w:val="22"/>
        </w:rPr>
        <w:t>PdM</w:t>
      </w:r>
      <w:proofErr w:type="spellEnd"/>
      <w:r w:rsidRPr="006E758E">
        <w:rPr>
          <w:rFonts w:asciiTheme="minorHAnsi" w:hAnsiTheme="minorHAnsi"/>
          <w:bCs/>
          <w:sz w:val="22"/>
          <w:szCs w:val="22"/>
        </w:rPr>
        <w:t xml:space="preserve"> among small and medium-sized enterprises (SMEs).</w:t>
      </w:r>
    </w:p>
    <w:p w14:paraId="5EB9E925" w14:textId="77777777" w:rsidR="006E758E" w:rsidRPr="006E758E" w:rsidRDefault="006E758E" w:rsidP="006E758E">
      <w:pPr>
        <w:spacing w:before="120" w:after="120"/>
        <w:jc w:val="both"/>
        <w:rPr>
          <w:rFonts w:asciiTheme="minorHAnsi" w:hAnsiTheme="minorHAnsi"/>
          <w:bCs/>
          <w:sz w:val="22"/>
          <w:szCs w:val="22"/>
        </w:rPr>
      </w:pPr>
      <w:r w:rsidRPr="006E758E">
        <w:rPr>
          <w:rFonts w:asciiTheme="minorHAnsi" w:hAnsiTheme="minorHAnsi"/>
          <w:bCs/>
          <w:sz w:val="22"/>
          <w:szCs w:val="22"/>
        </w:rPr>
        <w:t xml:space="preserve">By adopting such a multidimensional approach, </w:t>
      </w:r>
      <w:proofErr w:type="spellStart"/>
      <w:r w:rsidRPr="006E758E">
        <w:rPr>
          <w:rFonts w:asciiTheme="minorHAnsi" w:hAnsiTheme="minorHAnsi"/>
          <w:bCs/>
          <w:sz w:val="22"/>
          <w:szCs w:val="22"/>
        </w:rPr>
        <w:t>PdM</w:t>
      </w:r>
      <w:proofErr w:type="spellEnd"/>
      <w:r w:rsidRPr="006E758E">
        <w:rPr>
          <w:rFonts w:asciiTheme="minorHAnsi" w:hAnsiTheme="minorHAnsi"/>
          <w:bCs/>
          <w:sz w:val="22"/>
          <w:szCs w:val="22"/>
        </w:rPr>
        <w:t xml:space="preserve"> will evolve from a maintenance tool into a cornerstone of sustainable industrial transformation. This evolution requires collaboration across all levels—policy, industry, and education—to ensure that technological advancement translates into tangible environmental and social benefits.</w:t>
      </w:r>
    </w:p>
    <w:p w14:paraId="3A05D16D" w14:textId="30520B23" w:rsidR="00684193" w:rsidRDefault="006E758E" w:rsidP="006E758E">
      <w:pPr>
        <w:spacing w:before="120" w:after="120"/>
        <w:jc w:val="both"/>
        <w:rPr>
          <w:rFonts w:asciiTheme="minorHAnsi" w:hAnsiTheme="minorHAnsi"/>
          <w:bCs/>
          <w:sz w:val="22"/>
          <w:szCs w:val="22"/>
        </w:rPr>
      </w:pPr>
      <w:r w:rsidRPr="006E758E">
        <w:rPr>
          <w:rFonts w:asciiTheme="minorHAnsi" w:hAnsiTheme="minorHAnsi"/>
          <w:bCs/>
          <w:sz w:val="22"/>
          <w:szCs w:val="22"/>
        </w:rPr>
        <w:t>In conclusion, Predictive Maintenance supported by deep tech applications is not merely a technological innovation but a strategic enabler of Europe’s transition toward a circular, human-</w:t>
      </w:r>
      <w:proofErr w:type="spellStart"/>
      <w:r w:rsidRPr="006E758E">
        <w:rPr>
          <w:rFonts w:asciiTheme="minorHAnsi" w:hAnsiTheme="minorHAnsi"/>
          <w:bCs/>
          <w:sz w:val="22"/>
          <w:szCs w:val="22"/>
        </w:rPr>
        <w:t>centered</w:t>
      </w:r>
      <w:proofErr w:type="spellEnd"/>
      <w:r w:rsidRPr="006E758E">
        <w:rPr>
          <w:rFonts w:asciiTheme="minorHAnsi" w:hAnsiTheme="minorHAnsi"/>
          <w:bCs/>
          <w:sz w:val="22"/>
          <w:szCs w:val="22"/>
        </w:rPr>
        <w:t xml:space="preserve">, and digitally empowered industrial future. Through the implementation of the proposed policy recommendations, </w:t>
      </w:r>
      <w:r w:rsidR="009E185E" w:rsidRPr="009E185E">
        <w:rPr>
          <w:rFonts w:asciiTheme="minorHAnsi" w:hAnsiTheme="minorHAnsi"/>
          <w:bCs/>
          <w:sz w:val="22"/>
          <w:szCs w:val="22"/>
        </w:rPr>
        <w:t xml:space="preserve">the European Union, its member states, and non-EU European countries </w:t>
      </w:r>
      <w:r w:rsidRPr="006E758E">
        <w:rPr>
          <w:rFonts w:asciiTheme="minorHAnsi" w:hAnsiTheme="minorHAnsi"/>
          <w:bCs/>
          <w:sz w:val="22"/>
          <w:szCs w:val="22"/>
        </w:rPr>
        <w:t>can lead the global shift toward sustainable and intelligent production systems, securing both economic competitiveness and societal well-being.</w:t>
      </w:r>
    </w:p>
    <w:p w14:paraId="688615C6" w14:textId="77777777" w:rsidR="00A6224D" w:rsidRDefault="00A6224D" w:rsidP="006E758E">
      <w:pPr>
        <w:spacing w:before="120" w:after="120"/>
        <w:jc w:val="both"/>
        <w:rPr>
          <w:rFonts w:asciiTheme="minorHAnsi" w:hAnsiTheme="minorHAnsi"/>
          <w:bCs/>
          <w:sz w:val="22"/>
          <w:szCs w:val="22"/>
        </w:rPr>
      </w:pPr>
    </w:p>
    <w:p w14:paraId="070A783D" w14:textId="77777777" w:rsidR="00A6224D" w:rsidRPr="006E758E" w:rsidRDefault="00A6224D" w:rsidP="006E758E">
      <w:pPr>
        <w:spacing w:before="120" w:after="120"/>
        <w:jc w:val="both"/>
        <w:rPr>
          <w:rFonts w:asciiTheme="minorHAnsi" w:hAnsiTheme="minorHAnsi"/>
          <w:bCs/>
          <w:sz w:val="22"/>
          <w:szCs w:val="22"/>
        </w:rPr>
      </w:pPr>
    </w:p>
    <w:p w14:paraId="13DD8A66" w14:textId="332DC71B" w:rsidR="00684193" w:rsidRPr="00684193" w:rsidRDefault="00177980" w:rsidP="006E758E">
      <w:pPr>
        <w:pStyle w:val="Heading1"/>
        <w:spacing w:before="120" w:after="120"/>
      </w:pPr>
      <w:bookmarkStart w:id="8" w:name="_Toc212336508"/>
      <w:r>
        <w:lastRenderedPageBreak/>
        <w:t>References</w:t>
      </w:r>
      <w:bookmarkEnd w:id="8"/>
    </w:p>
    <w:p w14:paraId="095260ED"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European Commission (2020). A New Industrial Strategy for Europe. Brussels: European Commission.</w:t>
      </w:r>
    </w:p>
    <w:p w14:paraId="385D0B96"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European Commission (2021). Industry 5.0: Towards a Sustainable, Human-Centric and Resilient European Industry. Directorate-General for Research and Innovation.</w:t>
      </w:r>
    </w:p>
    <w:p w14:paraId="649248C4"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 xml:space="preserve">European Commission (2019). The European Green Deal. </w:t>
      </w:r>
      <w:proofErr w:type="gramStart"/>
      <w:r>
        <w:rPr>
          <w:rFonts w:asciiTheme="minorHAnsi" w:hAnsiTheme="minorHAnsi" w:cstheme="minorHAnsi"/>
          <w:sz w:val="22"/>
          <w:szCs w:val="22"/>
        </w:rPr>
        <w:t>COM(</w:t>
      </w:r>
      <w:proofErr w:type="gramEnd"/>
      <w:r>
        <w:rPr>
          <w:rFonts w:asciiTheme="minorHAnsi" w:hAnsiTheme="minorHAnsi" w:cstheme="minorHAnsi"/>
          <w:sz w:val="22"/>
          <w:szCs w:val="22"/>
        </w:rPr>
        <w:t>2019) 640 final.</w:t>
      </w:r>
    </w:p>
    <w:p w14:paraId="5AFE67C9"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European Commission (2023). Digital Europe Programme – Work Programme 2023–2024.</w:t>
      </w:r>
    </w:p>
    <w:p w14:paraId="6CE06907"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Europe strategic plan 2025-2027, Publications Office of the European Union, 2024,</w:t>
      </w:r>
    </w:p>
    <w:p w14:paraId="782A17AB"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 xml:space="preserve">European Institute of Innovation &amp; Technology (EIT Manufacturing) (2023). </w:t>
      </w:r>
    </w:p>
    <w:p w14:paraId="01DAEB25"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OECD (2021). The Digital Transformation of SMEs. OECD Publishing, Paris.</w:t>
      </w:r>
    </w:p>
    <w:p w14:paraId="467B8CD5"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World Economic Forum (2022). Unlocking Value from Artificial Intelligence in Manufacturing. Geneva: WEF.</w:t>
      </w:r>
    </w:p>
    <w:p w14:paraId="0CD6AF89"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McKinsey &amp; Company (2021). Prediction at scale: How industry can get more value out of maintenance. Article.</w:t>
      </w:r>
    </w:p>
    <w:p w14:paraId="2318D152"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Deloitte (2017). Predictive Maintenance and the Smart Factory: The Next Frontier for Industrial Efficiency. Deloitte Insights.</w:t>
      </w:r>
    </w:p>
    <w:p w14:paraId="0A22F343"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 xml:space="preserve">Lee, J., </w:t>
      </w:r>
      <w:proofErr w:type="spellStart"/>
      <w:r>
        <w:rPr>
          <w:rFonts w:asciiTheme="minorHAnsi" w:hAnsiTheme="minorHAnsi" w:cstheme="minorHAnsi"/>
          <w:sz w:val="22"/>
          <w:szCs w:val="22"/>
        </w:rPr>
        <w:t>Bagheri</w:t>
      </w:r>
      <w:proofErr w:type="spellEnd"/>
      <w:r>
        <w:rPr>
          <w:rFonts w:asciiTheme="minorHAnsi" w:hAnsiTheme="minorHAnsi" w:cstheme="minorHAnsi"/>
          <w:sz w:val="22"/>
          <w:szCs w:val="22"/>
        </w:rPr>
        <w:t>, B., &amp; Kao, H.-A. (2015). A Cyber-Physical Systems architecture for Industry 4.0-based manufacturing systems. Manufacturing Letters, 3, 18–23.</w:t>
      </w:r>
    </w:p>
    <w:p w14:paraId="79DAF4DA"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Tao, F., Qi, Q., Wang, L., &amp; Nee, A. Y. C. (2019). Digital Twins and Cyber–Physical Systems toward Smart Manufacturing and Industry 4.0: Correlation and Comparison. Engineering, 5(4), 653–661.</w:t>
      </w:r>
    </w:p>
    <w:p w14:paraId="5FF05324"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proofErr w:type="spellStart"/>
      <w:r>
        <w:rPr>
          <w:rFonts w:asciiTheme="minorHAnsi" w:hAnsiTheme="minorHAnsi" w:cstheme="minorHAnsi"/>
          <w:sz w:val="22"/>
          <w:szCs w:val="22"/>
        </w:rPr>
        <w:t>Zhong</w:t>
      </w:r>
      <w:proofErr w:type="spellEnd"/>
      <w:r>
        <w:rPr>
          <w:rFonts w:asciiTheme="minorHAnsi" w:hAnsiTheme="minorHAnsi" w:cstheme="minorHAnsi"/>
          <w:sz w:val="22"/>
          <w:szCs w:val="22"/>
        </w:rPr>
        <w:t>, R. Y., Xu, C., Chen, C., &amp; Huang, G. Q. (2017). Big Data Analytics for Physical Internet-based intelligent manufacturing shop floors. International Journal of Production Research, 55(9), 2610–2621.</w:t>
      </w:r>
    </w:p>
    <w:p w14:paraId="21B28756"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proofErr w:type="spellStart"/>
      <w:r>
        <w:rPr>
          <w:rFonts w:asciiTheme="minorHAnsi" w:hAnsiTheme="minorHAnsi" w:cstheme="minorHAnsi"/>
          <w:sz w:val="22"/>
          <w:szCs w:val="22"/>
        </w:rPr>
        <w:t>Kusiak</w:t>
      </w:r>
      <w:proofErr w:type="spellEnd"/>
      <w:r>
        <w:rPr>
          <w:rFonts w:asciiTheme="minorHAnsi" w:hAnsiTheme="minorHAnsi" w:cstheme="minorHAnsi"/>
          <w:sz w:val="22"/>
          <w:szCs w:val="22"/>
        </w:rPr>
        <w:t>, A. (2018). Smart Manufacturing. International Journal of Production Research, 56(1–2), 508–517.</w:t>
      </w:r>
    </w:p>
    <w:p w14:paraId="58FEC05D" w14:textId="77777777" w:rsidR="00B808CE" w:rsidRDefault="00B808CE" w:rsidP="00B808CE">
      <w:pPr>
        <w:numPr>
          <w:ilvl w:val="0"/>
          <w:numId w:val="20"/>
        </w:numPr>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 xml:space="preserve">Georg Philip </w:t>
      </w:r>
      <w:proofErr w:type="spellStart"/>
      <w:r>
        <w:rPr>
          <w:rFonts w:asciiTheme="minorHAnsi" w:hAnsiTheme="minorHAnsi" w:cstheme="minorHAnsi"/>
          <w:sz w:val="22"/>
          <w:szCs w:val="22"/>
        </w:rPr>
        <w:t>Krog</w:t>
      </w:r>
      <w:proofErr w:type="spellEnd"/>
      <w:r>
        <w:rPr>
          <w:rFonts w:asciiTheme="minorHAnsi" w:hAnsiTheme="minorHAnsi" w:cstheme="minorHAnsi"/>
          <w:sz w:val="22"/>
          <w:szCs w:val="22"/>
        </w:rPr>
        <w:t>. (2025) CEN-CENELEC JTC21 AI Standards: Complete Detailed Overview</w:t>
      </w:r>
    </w:p>
    <w:p w14:paraId="40268C9F" w14:textId="77777777" w:rsidR="00B808CE" w:rsidRDefault="00B808CE" w:rsidP="00B808CE">
      <w:pPr>
        <w:numPr>
          <w:ilvl w:val="0"/>
          <w:numId w:val="20"/>
        </w:numPr>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European Commission (2021). Proposal for a regulation of the European parliament and of the council laying down harmonised rules on artificial intelligence (artificial intelligence act) and amending certain union legislative acts.</w:t>
      </w:r>
    </w:p>
    <w:p w14:paraId="21ED8BA0"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UN Trade and Development (UNCTAD) (2018). Harnessing Frontier Technologies for Sustainable Industrial Development.</w:t>
      </w:r>
    </w:p>
    <w:p w14:paraId="31124720"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World Economic Forum (2019). Shaping the Future of Advanced Manufacturing and production.</w:t>
      </w:r>
    </w:p>
    <w:p w14:paraId="253F73D6" w14:textId="77777777" w:rsidR="00B808CE" w:rsidRDefault="00B808CE" w:rsidP="00B808CE">
      <w:pPr>
        <w:numPr>
          <w:ilvl w:val="0"/>
          <w:numId w:val="20"/>
        </w:numPr>
        <w:tabs>
          <w:tab w:val="num" w:pos="720"/>
        </w:tabs>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PwC (2020). Digital Factories 2020: Shaping the Future of Manufacturing. PwC Global Report.</w:t>
      </w:r>
    </w:p>
    <w:p w14:paraId="67C03E43" w14:textId="77777777" w:rsidR="00B808CE" w:rsidRPr="007018AF" w:rsidRDefault="00B808CE" w:rsidP="00B808CE">
      <w:pPr>
        <w:pStyle w:val="ListParagraph"/>
        <w:spacing w:before="120" w:after="120"/>
        <w:rPr>
          <w:rFonts w:asciiTheme="minorHAnsi" w:hAnsiTheme="minorHAnsi"/>
          <w:sz w:val="22"/>
          <w:szCs w:val="22"/>
        </w:rPr>
      </w:pPr>
      <w:bookmarkStart w:id="9" w:name="_GoBack"/>
      <w:bookmarkEnd w:id="9"/>
    </w:p>
    <w:p w14:paraId="1C1BC0ED" w14:textId="77777777" w:rsidR="00B96265" w:rsidRDefault="00B96265" w:rsidP="006E758E">
      <w:pPr>
        <w:tabs>
          <w:tab w:val="num" w:pos="720"/>
        </w:tabs>
        <w:spacing w:before="120" w:after="120"/>
        <w:rPr>
          <w:rFonts w:ascii="Arial" w:hAnsi="Arial"/>
          <w:sz w:val="21"/>
          <w:szCs w:val="21"/>
        </w:rPr>
      </w:pPr>
    </w:p>
    <w:p w14:paraId="763A4774" w14:textId="77777777" w:rsidR="00B96265" w:rsidRDefault="00B96265" w:rsidP="006E758E">
      <w:pPr>
        <w:tabs>
          <w:tab w:val="num" w:pos="720"/>
        </w:tabs>
        <w:spacing w:before="120" w:after="120"/>
        <w:rPr>
          <w:rFonts w:ascii="Arial" w:hAnsi="Arial"/>
          <w:sz w:val="21"/>
          <w:szCs w:val="21"/>
        </w:rPr>
      </w:pPr>
    </w:p>
    <w:p w14:paraId="4A74DF5F" w14:textId="77777777" w:rsidR="00B96265" w:rsidRDefault="00B96265" w:rsidP="006E758E">
      <w:pPr>
        <w:tabs>
          <w:tab w:val="num" w:pos="720"/>
        </w:tabs>
        <w:spacing w:before="120" w:after="120"/>
        <w:rPr>
          <w:rFonts w:ascii="Arial" w:hAnsi="Arial"/>
          <w:sz w:val="21"/>
          <w:szCs w:val="21"/>
        </w:rPr>
      </w:pPr>
    </w:p>
    <w:p w14:paraId="18D200EA" w14:textId="77777777" w:rsidR="00B96265" w:rsidRDefault="00B96265" w:rsidP="006E758E">
      <w:pPr>
        <w:tabs>
          <w:tab w:val="num" w:pos="720"/>
        </w:tabs>
        <w:spacing w:before="120" w:after="120"/>
        <w:rPr>
          <w:rFonts w:ascii="Arial" w:hAnsi="Arial"/>
          <w:sz w:val="21"/>
          <w:szCs w:val="21"/>
        </w:rPr>
      </w:pPr>
    </w:p>
    <w:p w14:paraId="192609B7" w14:textId="77777777" w:rsidR="00B96265" w:rsidRDefault="00B96265" w:rsidP="006E758E">
      <w:pPr>
        <w:tabs>
          <w:tab w:val="num" w:pos="720"/>
        </w:tabs>
        <w:spacing w:before="120" w:after="120"/>
        <w:rPr>
          <w:rFonts w:ascii="Arial" w:hAnsi="Arial"/>
          <w:sz w:val="21"/>
          <w:szCs w:val="21"/>
        </w:rPr>
      </w:pPr>
    </w:p>
    <w:p w14:paraId="79706AB2" w14:textId="77777777" w:rsidR="00B96265" w:rsidRDefault="00B96265" w:rsidP="006E758E">
      <w:pPr>
        <w:tabs>
          <w:tab w:val="num" w:pos="720"/>
        </w:tabs>
        <w:spacing w:before="120" w:after="120"/>
        <w:rPr>
          <w:rFonts w:ascii="Arial" w:hAnsi="Arial"/>
          <w:sz w:val="21"/>
          <w:szCs w:val="21"/>
        </w:rPr>
      </w:pPr>
    </w:p>
    <w:p w14:paraId="49F82892" w14:textId="77777777" w:rsidR="00B96265" w:rsidRDefault="00B96265" w:rsidP="006E758E">
      <w:pPr>
        <w:tabs>
          <w:tab w:val="num" w:pos="720"/>
        </w:tabs>
        <w:spacing w:before="120" w:after="120"/>
        <w:rPr>
          <w:rFonts w:ascii="Arial" w:hAnsi="Arial"/>
          <w:sz w:val="21"/>
          <w:szCs w:val="21"/>
        </w:rPr>
      </w:pPr>
    </w:p>
    <w:p w14:paraId="3F0CABD1" w14:textId="77777777" w:rsidR="00B96265" w:rsidRDefault="00B96265" w:rsidP="00EA78CB">
      <w:pPr>
        <w:tabs>
          <w:tab w:val="num" w:pos="720"/>
        </w:tabs>
        <w:spacing w:before="120" w:after="120"/>
        <w:rPr>
          <w:rFonts w:ascii="Arial" w:hAnsi="Arial"/>
          <w:sz w:val="21"/>
          <w:szCs w:val="21"/>
        </w:rPr>
      </w:pPr>
    </w:p>
    <w:sectPr w:rsidR="00B96265" w:rsidSect="00190733">
      <w:headerReference w:type="default" r:id="rId8"/>
      <w:footerReference w:type="even" r:id="rId9"/>
      <w:footerReference w:type="default" r:id="rId10"/>
      <w:headerReference w:type="first" r:id="rId11"/>
      <w:footerReference w:type="first" r:id="rId12"/>
      <w:pgSz w:w="11906" w:h="16838"/>
      <w:pgMar w:top="1440" w:right="1274"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9E637" w14:textId="77777777" w:rsidR="000F25D9" w:rsidRPr="003B2C5A" w:rsidRDefault="000F25D9" w:rsidP="00D60BC0">
      <w:r w:rsidRPr="003B2C5A">
        <w:separator/>
      </w:r>
    </w:p>
  </w:endnote>
  <w:endnote w:type="continuationSeparator" w:id="0">
    <w:p w14:paraId="246AA181" w14:textId="77777777" w:rsidR="000F25D9" w:rsidRPr="003B2C5A" w:rsidRDefault="000F25D9" w:rsidP="00D60BC0">
      <w:r w:rsidRPr="003B2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3458887"/>
      <w:docPartObj>
        <w:docPartGallery w:val="Page Numbers (Bottom of Page)"/>
        <w:docPartUnique/>
      </w:docPartObj>
    </w:sdtPr>
    <w:sdtEndPr>
      <w:rPr>
        <w:rStyle w:val="PageNumber"/>
      </w:rPr>
    </w:sdtEndPr>
    <w:sdtContent>
      <w:p w14:paraId="34998C13" w14:textId="77777777" w:rsidR="00444530" w:rsidRPr="003B2C5A" w:rsidRDefault="00A4161A" w:rsidP="00E73DBE">
        <w:pPr>
          <w:pStyle w:val="Footer"/>
          <w:framePr w:wrap="none" w:vAnchor="text" w:hAnchor="margin" w:xAlign="right" w:y="1"/>
          <w:rPr>
            <w:rStyle w:val="PageNumber"/>
          </w:rPr>
        </w:pPr>
        <w:r w:rsidRPr="003B2C5A">
          <w:rPr>
            <w:rStyle w:val="PageNumber"/>
          </w:rPr>
          <w:fldChar w:fldCharType="begin"/>
        </w:r>
        <w:r w:rsidR="00444530" w:rsidRPr="003B2C5A">
          <w:rPr>
            <w:rStyle w:val="PageNumber"/>
          </w:rPr>
          <w:instrText xml:space="preserve"> PAGE </w:instrText>
        </w:r>
        <w:r w:rsidRPr="003B2C5A">
          <w:rPr>
            <w:rStyle w:val="PageNumber"/>
          </w:rPr>
          <w:fldChar w:fldCharType="end"/>
        </w:r>
      </w:p>
    </w:sdtContent>
  </w:sdt>
  <w:p w14:paraId="019F8F32" w14:textId="77777777" w:rsidR="00444530" w:rsidRPr="003B2C5A" w:rsidRDefault="00444530" w:rsidP="004445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color w:val="808080" w:themeColor="background1" w:themeShade="80"/>
      </w:rPr>
      <w:id w:val="-738479589"/>
      <w:docPartObj>
        <w:docPartGallery w:val="Page Numbers (Bottom of Page)"/>
        <w:docPartUnique/>
      </w:docPartObj>
    </w:sdtPr>
    <w:sdtEndPr>
      <w:rPr>
        <w:rStyle w:val="PageNumber"/>
      </w:rPr>
    </w:sdtEndPr>
    <w:sdtContent>
      <w:p w14:paraId="33E66166" w14:textId="4DD29F77" w:rsidR="00444530" w:rsidRPr="003B2C5A" w:rsidRDefault="00A4161A" w:rsidP="00E73DBE">
        <w:pPr>
          <w:pStyle w:val="Footer"/>
          <w:framePr w:wrap="none" w:vAnchor="text" w:hAnchor="margin" w:xAlign="right" w:y="1"/>
          <w:rPr>
            <w:rStyle w:val="PageNumber"/>
            <w:rFonts w:ascii="Times New Roman" w:hAnsi="Times New Roman" w:cs="Times New Roman"/>
            <w:color w:val="808080" w:themeColor="background1" w:themeShade="80"/>
          </w:rPr>
        </w:pPr>
        <w:r w:rsidRPr="003B2C5A">
          <w:rPr>
            <w:rStyle w:val="PageNumber"/>
            <w:rFonts w:ascii="Times New Roman" w:hAnsi="Times New Roman" w:cs="Times New Roman"/>
            <w:color w:val="808080" w:themeColor="background1" w:themeShade="80"/>
          </w:rPr>
          <w:fldChar w:fldCharType="begin"/>
        </w:r>
        <w:r w:rsidR="00444530" w:rsidRPr="003B2C5A">
          <w:rPr>
            <w:rStyle w:val="PageNumber"/>
            <w:rFonts w:ascii="Times New Roman" w:hAnsi="Times New Roman" w:cs="Times New Roman"/>
            <w:color w:val="808080" w:themeColor="background1" w:themeShade="80"/>
          </w:rPr>
          <w:instrText xml:space="preserve"> PAGE </w:instrText>
        </w:r>
        <w:r w:rsidRPr="003B2C5A">
          <w:rPr>
            <w:rStyle w:val="PageNumber"/>
            <w:rFonts w:ascii="Times New Roman" w:hAnsi="Times New Roman" w:cs="Times New Roman"/>
            <w:color w:val="808080" w:themeColor="background1" w:themeShade="80"/>
          </w:rPr>
          <w:fldChar w:fldCharType="separate"/>
        </w:r>
        <w:r w:rsidR="00B808CE">
          <w:rPr>
            <w:rStyle w:val="PageNumber"/>
            <w:rFonts w:ascii="Times New Roman" w:hAnsi="Times New Roman" w:cs="Times New Roman"/>
            <w:noProof/>
            <w:color w:val="808080" w:themeColor="background1" w:themeShade="80"/>
          </w:rPr>
          <w:t>12</w:t>
        </w:r>
        <w:r w:rsidRPr="003B2C5A">
          <w:rPr>
            <w:rStyle w:val="PageNumber"/>
            <w:rFonts w:ascii="Times New Roman" w:hAnsi="Times New Roman" w:cs="Times New Roman"/>
            <w:color w:val="808080" w:themeColor="background1" w:themeShade="80"/>
          </w:rPr>
          <w:fldChar w:fldCharType="end"/>
        </w:r>
      </w:p>
    </w:sdtContent>
  </w:sdt>
  <w:p w14:paraId="150492C1" w14:textId="77777777" w:rsidR="00CC00C2" w:rsidRDefault="00444530" w:rsidP="00444530">
    <w:pPr>
      <w:pStyle w:val="Footer"/>
      <w:ind w:right="360"/>
      <w:rPr>
        <w:rFonts w:ascii="Times New Roman" w:hAnsi="Times New Roman" w:cs="Times New Roman"/>
        <w:color w:val="808080" w:themeColor="background1" w:themeShade="80"/>
        <w:sz w:val="20"/>
        <w:szCs w:val="20"/>
      </w:rPr>
    </w:pPr>
    <w:r w:rsidRPr="003B2C5A">
      <w:rPr>
        <w:rFonts w:ascii="Times New Roman" w:hAnsi="Times New Roman" w:cs="Times New Roman"/>
        <w:color w:val="808080" w:themeColor="background1" w:themeShade="80"/>
        <w:sz w:val="20"/>
        <w:szCs w:val="20"/>
      </w:rPr>
      <w:t>Project Ref.: 2023-1-RO01-KA220-VET-00015105</w:t>
    </w:r>
    <w:r w:rsidR="00CC00C2">
      <w:rPr>
        <w:rFonts w:ascii="Times New Roman" w:hAnsi="Times New Roman" w:cs="Times New Roman"/>
        <w:color w:val="808080" w:themeColor="background1" w:themeShade="80"/>
        <w:sz w:val="20"/>
        <w:szCs w:val="20"/>
      </w:rPr>
      <w:t xml:space="preserve"> </w:t>
    </w:r>
  </w:p>
  <w:p w14:paraId="283361FE" w14:textId="2E12744E" w:rsidR="00444530" w:rsidRPr="003B2C5A" w:rsidRDefault="00CC00C2" w:rsidP="00444530">
    <w:pPr>
      <w:pStyle w:val="Footer"/>
      <w:ind w:right="360"/>
      <w:rPr>
        <w:rFonts w:ascii="Times New Roman" w:hAnsi="Times New Roman" w:cs="Times New Roman"/>
        <w:color w:val="808080" w:themeColor="background1" w:themeShade="80"/>
        <w:sz w:val="20"/>
        <w:szCs w:val="20"/>
      </w:rPr>
    </w:pPr>
    <w:r w:rsidRPr="00CC00C2">
      <w:rPr>
        <w:rFonts w:ascii="Times New Roman" w:hAnsi="Times New Roman" w:cs="Times New Roman"/>
        <w:color w:val="808080" w:themeColor="background1" w:themeShade="80"/>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B954A" w14:textId="77777777" w:rsidR="00EE2D4B" w:rsidRPr="00EE2D4B" w:rsidRDefault="00CD0059" w:rsidP="00CD0059">
    <w:pPr>
      <w:pStyle w:val="Footer"/>
      <w:ind w:right="360"/>
      <w:rPr>
        <w:rFonts w:ascii="Times New Roman" w:hAnsi="Times New Roman" w:cs="Times New Roman"/>
        <w:color w:val="767171" w:themeColor="background2" w:themeShade="80"/>
        <w:sz w:val="20"/>
        <w:szCs w:val="20"/>
      </w:rPr>
    </w:pPr>
    <w:r w:rsidRPr="00EE2D4B">
      <w:rPr>
        <w:rFonts w:ascii="Times New Roman" w:hAnsi="Times New Roman" w:cs="Times New Roman"/>
        <w:color w:val="767171" w:themeColor="background2" w:themeShade="80"/>
        <w:sz w:val="20"/>
        <w:szCs w:val="20"/>
      </w:rPr>
      <w:t>Project Ref.: 2023-1-RO01-KA220-VET-00015105</w:t>
    </w:r>
    <w:r w:rsidR="00DB70A1" w:rsidRPr="00EE2D4B">
      <w:rPr>
        <w:rFonts w:ascii="Times New Roman" w:hAnsi="Times New Roman" w:cs="Times New Roman"/>
        <w:color w:val="767171" w:themeColor="background2" w:themeShade="80"/>
        <w:sz w:val="20"/>
        <w:szCs w:val="20"/>
      </w:rPr>
      <w:t>6</w:t>
    </w:r>
  </w:p>
  <w:p w14:paraId="527AE810" w14:textId="77777777" w:rsidR="00EE2D4B" w:rsidRPr="00EE2D4B" w:rsidRDefault="00EE2D4B" w:rsidP="00EE2D4B">
    <w:pPr>
      <w:autoSpaceDE w:val="0"/>
      <w:autoSpaceDN w:val="0"/>
      <w:adjustRightInd w:val="0"/>
      <w:jc w:val="both"/>
      <w:rPr>
        <w:rFonts w:ascii="Times New Roman" w:hAnsi="Times New Roman" w:cs="Times New Roman"/>
        <w:color w:val="767171" w:themeColor="background2" w:themeShade="80"/>
      </w:rPr>
    </w:pPr>
    <w:r w:rsidRPr="00EE2D4B">
      <w:rPr>
        <w:rFonts w:ascii="Times New Roman" w:hAnsi="Times New Roman" w:cs="Times New Roman"/>
        <w:color w:val="767171" w:themeColor="background2" w:themeShade="8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3E9249FD" w14:textId="79D909D8" w:rsidR="00CD0059" w:rsidRPr="003B2C5A" w:rsidRDefault="00EE2D4B" w:rsidP="00CD0059">
    <w:pPr>
      <w:pStyle w:val="Footer"/>
      <w:ind w:right="360"/>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 xml:space="preserve"> </w:t>
    </w:r>
  </w:p>
  <w:p w14:paraId="0D2D3964" w14:textId="77777777" w:rsidR="00CD0059" w:rsidRPr="003B2C5A" w:rsidRDefault="00CD0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588D9" w14:textId="77777777" w:rsidR="000F25D9" w:rsidRPr="003B2C5A" w:rsidRDefault="000F25D9" w:rsidP="00D60BC0">
      <w:r w:rsidRPr="003B2C5A">
        <w:separator/>
      </w:r>
    </w:p>
  </w:footnote>
  <w:footnote w:type="continuationSeparator" w:id="0">
    <w:p w14:paraId="06BD6914" w14:textId="77777777" w:rsidR="000F25D9" w:rsidRPr="003B2C5A" w:rsidRDefault="000F25D9" w:rsidP="00D60BC0">
      <w:r w:rsidRPr="003B2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9A77" w14:textId="77777777" w:rsidR="00444530" w:rsidRPr="003B2C5A" w:rsidRDefault="00444530">
    <w:pPr>
      <w:pStyle w:val="Header"/>
    </w:pPr>
    <w:r w:rsidRPr="003B2C5A">
      <w:rPr>
        <w:noProof/>
        <w:lang w:val="en-US"/>
      </w:rPr>
      <w:drawing>
        <wp:anchor distT="0" distB="0" distL="114300" distR="114300" simplePos="0" relativeHeight="251660288" behindDoc="0" locked="0" layoutInCell="1" allowOverlap="1" wp14:anchorId="4B096DC8" wp14:editId="43C57CCE">
          <wp:simplePos x="0" y="0"/>
          <wp:positionH relativeFrom="margin">
            <wp:align>left</wp:align>
          </wp:positionH>
          <wp:positionV relativeFrom="paragraph">
            <wp:posOffset>181398</wp:posOffset>
          </wp:positionV>
          <wp:extent cx="1913467" cy="418054"/>
          <wp:effectExtent l="0" t="0" r="0" b="0"/>
          <wp:wrapThrough wrapText="bothSides">
            <wp:wrapPolygon edited="0">
              <wp:start x="3584" y="1313"/>
              <wp:lineTo x="1434" y="2626"/>
              <wp:lineTo x="0" y="6565"/>
              <wp:lineTo x="143" y="15757"/>
              <wp:lineTo x="1434" y="17726"/>
              <wp:lineTo x="3584" y="19040"/>
              <wp:lineTo x="20503" y="19040"/>
              <wp:lineTo x="20503" y="13131"/>
              <wp:lineTo x="21220" y="4596"/>
              <wp:lineTo x="21077" y="1313"/>
              <wp:lineTo x="3584" y="1313"/>
            </wp:wrapPolygon>
          </wp:wrapThrough>
          <wp:docPr id="1987623913" name="Picture 3" descr="A yellow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2" name="Picture 3" descr="A yellow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3467" cy="418054"/>
                  </a:xfrm>
                  <a:prstGeom prst="rect">
                    <a:avLst/>
                  </a:prstGeom>
                </pic:spPr>
              </pic:pic>
            </a:graphicData>
          </a:graphic>
        </wp:anchor>
      </w:drawing>
    </w:r>
    <w:r w:rsidRPr="003B2C5A">
      <w:rPr>
        <w:noProof/>
        <w:sz w:val="18"/>
        <w:szCs w:val="18"/>
        <w:lang w:val="en-US"/>
      </w:rPr>
      <w:drawing>
        <wp:anchor distT="0" distB="0" distL="114300" distR="114300" simplePos="0" relativeHeight="251659264" behindDoc="0" locked="0" layoutInCell="1" allowOverlap="1" wp14:anchorId="0A51BAF0" wp14:editId="7C7D4354">
          <wp:simplePos x="0" y="0"/>
          <wp:positionH relativeFrom="margin">
            <wp:align>right</wp:align>
          </wp:positionH>
          <wp:positionV relativeFrom="paragraph">
            <wp:posOffset>185420</wp:posOffset>
          </wp:positionV>
          <wp:extent cx="1835785" cy="384810"/>
          <wp:effectExtent l="0" t="0" r="5715" b="0"/>
          <wp:wrapTopAndBottom/>
          <wp:docPr id="1732178299" name="Picture 213526036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9250" name="Picture 2"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35785" cy="3848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7D9C" w14:textId="77777777" w:rsidR="000B7B68" w:rsidRPr="003B2C5A" w:rsidRDefault="000B7B68">
    <w:pPr>
      <w:pStyle w:val="Header"/>
    </w:pPr>
    <w:r w:rsidRPr="003B2C5A">
      <w:rPr>
        <w:noProof/>
        <w:sz w:val="18"/>
        <w:szCs w:val="18"/>
        <w:lang w:val="en-US"/>
      </w:rPr>
      <w:drawing>
        <wp:anchor distT="0" distB="0" distL="114300" distR="114300" simplePos="0" relativeHeight="251664384" behindDoc="0" locked="0" layoutInCell="1" allowOverlap="1" wp14:anchorId="6C8CEBEB" wp14:editId="754380B1">
          <wp:simplePos x="0" y="0"/>
          <wp:positionH relativeFrom="margin">
            <wp:align>right</wp:align>
          </wp:positionH>
          <wp:positionV relativeFrom="paragraph">
            <wp:posOffset>-85513</wp:posOffset>
          </wp:positionV>
          <wp:extent cx="1835785" cy="384810"/>
          <wp:effectExtent l="0" t="0" r="5715" b="0"/>
          <wp:wrapTopAndBottom/>
          <wp:docPr id="1355695372" name="Picture 4233840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925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5785" cy="384810"/>
                  </a:xfrm>
                  <a:prstGeom prst="rect">
                    <a:avLst/>
                  </a:prstGeom>
                </pic:spPr>
              </pic:pic>
            </a:graphicData>
          </a:graphic>
        </wp:anchor>
      </w:drawing>
    </w:r>
    <w:r w:rsidRPr="003B2C5A">
      <w:rPr>
        <w:noProof/>
        <w:lang w:val="en-US"/>
      </w:rPr>
      <w:drawing>
        <wp:anchor distT="0" distB="0" distL="114300" distR="114300" simplePos="0" relativeHeight="251662336" behindDoc="0" locked="0" layoutInCell="1" allowOverlap="1" wp14:anchorId="39ACFCEA" wp14:editId="3C6F652A">
          <wp:simplePos x="0" y="0"/>
          <wp:positionH relativeFrom="margin">
            <wp:align>left</wp:align>
          </wp:positionH>
          <wp:positionV relativeFrom="paragraph">
            <wp:posOffset>-85513</wp:posOffset>
          </wp:positionV>
          <wp:extent cx="1913467" cy="418054"/>
          <wp:effectExtent l="0" t="0" r="0" b="0"/>
          <wp:wrapThrough wrapText="bothSides">
            <wp:wrapPolygon edited="0">
              <wp:start x="3584" y="1313"/>
              <wp:lineTo x="1434" y="2626"/>
              <wp:lineTo x="0" y="6565"/>
              <wp:lineTo x="143" y="15757"/>
              <wp:lineTo x="1434" y="17726"/>
              <wp:lineTo x="3584" y="19040"/>
              <wp:lineTo x="20503" y="19040"/>
              <wp:lineTo x="20503" y="13131"/>
              <wp:lineTo x="21220" y="4596"/>
              <wp:lineTo x="21077" y="1313"/>
              <wp:lineTo x="3584" y="1313"/>
            </wp:wrapPolygon>
          </wp:wrapThrough>
          <wp:docPr id="1505042779" name="Picture 143638176" descr="A yellow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2" name="Picture 3" descr="A yellow letter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13467" cy="4180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3EF"/>
    <w:multiLevelType w:val="multilevel"/>
    <w:tmpl w:val="15C6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745F1"/>
    <w:multiLevelType w:val="multilevel"/>
    <w:tmpl w:val="05B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A777D"/>
    <w:multiLevelType w:val="hybridMultilevel"/>
    <w:tmpl w:val="79F0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032E0"/>
    <w:multiLevelType w:val="multilevel"/>
    <w:tmpl w:val="F82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8495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D327697"/>
    <w:multiLevelType w:val="hybridMultilevel"/>
    <w:tmpl w:val="1EBEA1B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DDE2A018">
      <w:start w:val="1"/>
      <w:numFmt w:val="bullet"/>
      <w:lvlText w:val="-"/>
      <w:lvlJc w:val="left"/>
      <w:pPr>
        <w:ind w:left="2520" w:hanging="360"/>
      </w:pPr>
      <w:rPr>
        <w:rFonts w:ascii="Courier New" w:hAnsi="Courier New"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7276B8"/>
    <w:multiLevelType w:val="multilevel"/>
    <w:tmpl w:val="86DE7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97E69"/>
    <w:multiLevelType w:val="hybridMultilevel"/>
    <w:tmpl w:val="86E2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E442F"/>
    <w:multiLevelType w:val="hybridMultilevel"/>
    <w:tmpl w:val="DFB6F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E3F3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BCD37EF"/>
    <w:multiLevelType w:val="hybridMultilevel"/>
    <w:tmpl w:val="1EBEA23C"/>
    <w:lvl w:ilvl="0" w:tplc="74C08C3A">
      <w:start w:val="1"/>
      <w:numFmt w:val="decimal"/>
      <w:lvlText w:val="%1."/>
      <w:lvlJc w:val="left"/>
      <w:pPr>
        <w:ind w:left="1080" w:hanging="360"/>
      </w:pPr>
      <w:rPr>
        <w:rFonts w:asciiTheme="majorHAnsi" w:eastAsiaTheme="majorEastAsia" w:hAnsiTheme="majorHAnsi" w:cstheme="majorBidi" w:hint="default"/>
        <w:color w:val="2F5496" w:themeColor="accent1" w:themeShade="BF"/>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3C098F"/>
    <w:multiLevelType w:val="hybridMultilevel"/>
    <w:tmpl w:val="A23A086C"/>
    <w:lvl w:ilvl="0" w:tplc="FFFFFFFF">
      <w:start w:val="28"/>
      <w:numFmt w:val="bullet"/>
      <w:lvlText w:val="-"/>
      <w:lvlJc w:val="left"/>
      <w:pPr>
        <w:tabs>
          <w:tab w:val="num" w:pos="1080"/>
        </w:tabs>
        <w:ind w:left="1080" w:hanging="360"/>
      </w:pPr>
      <w:rPr>
        <w:rFonts w:ascii="Trebuchet MS" w:eastAsia="Times New Roman" w:hAnsi="Trebuchet MS" w:cs="Times New Roman" w:hint="default"/>
      </w:rPr>
    </w:lvl>
    <w:lvl w:ilvl="1" w:tplc="DDE2A018">
      <w:start w:val="1"/>
      <w:numFmt w:val="bullet"/>
      <w:lvlText w:val="-"/>
      <w:lvlJc w:val="left"/>
      <w:pPr>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ind w:left="3240" w:hanging="360"/>
      </w:pPr>
      <w:rPr>
        <w:rFonts w:ascii="Courier New" w:hAnsi="Courier New"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2096D6E"/>
    <w:multiLevelType w:val="hybridMultilevel"/>
    <w:tmpl w:val="E5F4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239BC"/>
    <w:multiLevelType w:val="multilevel"/>
    <w:tmpl w:val="34EC9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E6B71"/>
    <w:multiLevelType w:val="hybridMultilevel"/>
    <w:tmpl w:val="E4704E0E"/>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A17353D"/>
    <w:multiLevelType w:val="multilevel"/>
    <w:tmpl w:val="68F60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B1427"/>
    <w:multiLevelType w:val="multilevel"/>
    <w:tmpl w:val="B34E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B0806"/>
    <w:multiLevelType w:val="hybridMultilevel"/>
    <w:tmpl w:val="E2707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5C5998"/>
    <w:multiLevelType w:val="multilevel"/>
    <w:tmpl w:val="BBF67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1"/>
  </w:num>
  <w:num w:numId="4">
    <w:abstractNumId w:val="15"/>
  </w:num>
  <w:num w:numId="5">
    <w:abstractNumId w:val="18"/>
  </w:num>
  <w:num w:numId="6">
    <w:abstractNumId w:val="6"/>
  </w:num>
  <w:num w:numId="7">
    <w:abstractNumId w:val="13"/>
  </w:num>
  <w:num w:numId="8">
    <w:abstractNumId w:val="16"/>
  </w:num>
  <w:num w:numId="9">
    <w:abstractNumId w:val="3"/>
  </w:num>
  <w:num w:numId="10">
    <w:abstractNumId w:val="1"/>
  </w:num>
  <w:num w:numId="11">
    <w:abstractNumId w:val="0"/>
  </w:num>
  <w:num w:numId="12">
    <w:abstractNumId w:val="9"/>
  </w:num>
  <w:num w:numId="13">
    <w:abstractNumId w:val="4"/>
  </w:num>
  <w:num w:numId="14">
    <w:abstractNumId w:val="8"/>
  </w:num>
  <w:num w:numId="15">
    <w:abstractNumId w:val="10"/>
  </w:num>
  <w:num w:numId="16">
    <w:abstractNumId w:val="2"/>
  </w:num>
  <w:num w:numId="17">
    <w:abstractNumId w:val="7"/>
  </w:num>
  <w:num w:numId="18">
    <w:abstractNumId w:val="12"/>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C0"/>
    <w:rsid w:val="00020A03"/>
    <w:rsid w:val="000360FA"/>
    <w:rsid w:val="00081C16"/>
    <w:rsid w:val="0009134B"/>
    <w:rsid w:val="00093F82"/>
    <w:rsid w:val="000B4127"/>
    <w:rsid w:val="000B7B68"/>
    <w:rsid w:val="000C1796"/>
    <w:rsid w:val="000D3DE8"/>
    <w:rsid w:val="000D4789"/>
    <w:rsid w:val="000F25D9"/>
    <w:rsid w:val="00104A03"/>
    <w:rsid w:val="001202E6"/>
    <w:rsid w:val="00133B5E"/>
    <w:rsid w:val="00167179"/>
    <w:rsid w:val="00177509"/>
    <w:rsid w:val="00177980"/>
    <w:rsid w:val="001839D9"/>
    <w:rsid w:val="00190733"/>
    <w:rsid w:val="00192B89"/>
    <w:rsid w:val="001A380F"/>
    <w:rsid w:val="001C7D3E"/>
    <w:rsid w:val="001D1075"/>
    <w:rsid w:val="001E097F"/>
    <w:rsid w:val="0020029D"/>
    <w:rsid w:val="002126A8"/>
    <w:rsid w:val="00217311"/>
    <w:rsid w:val="00236BC7"/>
    <w:rsid w:val="00240D42"/>
    <w:rsid w:val="00244309"/>
    <w:rsid w:val="0024572E"/>
    <w:rsid w:val="00257BBE"/>
    <w:rsid w:val="002613EA"/>
    <w:rsid w:val="00263635"/>
    <w:rsid w:val="00263EC8"/>
    <w:rsid w:val="002724A1"/>
    <w:rsid w:val="00296AAB"/>
    <w:rsid w:val="002A75F7"/>
    <w:rsid w:val="002E2FA0"/>
    <w:rsid w:val="002F5687"/>
    <w:rsid w:val="00306134"/>
    <w:rsid w:val="00312CCD"/>
    <w:rsid w:val="00313E16"/>
    <w:rsid w:val="003152D5"/>
    <w:rsid w:val="00346F52"/>
    <w:rsid w:val="003519BB"/>
    <w:rsid w:val="00354A57"/>
    <w:rsid w:val="00356D85"/>
    <w:rsid w:val="00360557"/>
    <w:rsid w:val="003823F8"/>
    <w:rsid w:val="003929A1"/>
    <w:rsid w:val="003972AA"/>
    <w:rsid w:val="003A2BB1"/>
    <w:rsid w:val="003B2C5A"/>
    <w:rsid w:val="003C2561"/>
    <w:rsid w:val="003C4933"/>
    <w:rsid w:val="003E0AB5"/>
    <w:rsid w:val="00406DFF"/>
    <w:rsid w:val="004110BA"/>
    <w:rsid w:val="0042269F"/>
    <w:rsid w:val="004234C9"/>
    <w:rsid w:val="004339CA"/>
    <w:rsid w:val="00435CCD"/>
    <w:rsid w:val="00441EC0"/>
    <w:rsid w:val="00444530"/>
    <w:rsid w:val="00451CB4"/>
    <w:rsid w:val="00463BD1"/>
    <w:rsid w:val="00466A61"/>
    <w:rsid w:val="00470B6F"/>
    <w:rsid w:val="00496553"/>
    <w:rsid w:val="004A4F9E"/>
    <w:rsid w:val="004F43A4"/>
    <w:rsid w:val="005148A0"/>
    <w:rsid w:val="00521309"/>
    <w:rsid w:val="00560879"/>
    <w:rsid w:val="00567964"/>
    <w:rsid w:val="00574FD9"/>
    <w:rsid w:val="00582150"/>
    <w:rsid w:val="005824B2"/>
    <w:rsid w:val="005944E8"/>
    <w:rsid w:val="005A1769"/>
    <w:rsid w:val="005C68AA"/>
    <w:rsid w:val="005F50A9"/>
    <w:rsid w:val="00625A05"/>
    <w:rsid w:val="00627522"/>
    <w:rsid w:val="00627AD7"/>
    <w:rsid w:val="00655583"/>
    <w:rsid w:val="00655C0B"/>
    <w:rsid w:val="00683237"/>
    <w:rsid w:val="00684193"/>
    <w:rsid w:val="00686E89"/>
    <w:rsid w:val="006A022E"/>
    <w:rsid w:val="006B2EDC"/>
    <w:rsid w:val="006B7BFA"/>
    <w:rsid w:val="006E758E"/>
    <w:rsid w:val="006F30D7"/>
    <w:rsid w:val="007018AF"/>
    <w:rsid w:val="0072091C"/>
    <w:rsid w:val="007504EE"/>
    <w:rsid w:val="00753A25"/>
    <w:rsid w:val="007602D0"/>
    <w:rsid w:val="00764C89"/>
    <w:rsid w:val="007652EE"/>
    <w:rsid w:val="00767D87"/>
    <w:rsid w:val="0077404D"/>
    <w:rsid w:val="0078565D"/>
    <w:rsid w:val="007B0E29"/>
    <w:rsid w:val="007B59E7"/>
    <w:rsid w:val="007B7C17"/>
    <w:rsid w:val="007C56D3"/>
    <w:rsid w:val="007D7B92"/>
    <w:rsid w:val="0080584B"/>
    <w:rsid w:val="00824ABA"/>
    <w:rsid w:val="00844E72"/>
    <w:rsid w:val="00865B88"/>
    <w:rsid w:val="008672AB"/>
    <w:rsid w:val="008B3D2B"/>
    <w:rsid w:val="008C07E0"/>
    <w:rsid w:val="008C507F"/>
    <w:rsid w:val="00903EFF"/>
    <w:rsid w:val="0093687E"/>
    <w:rsid w:val="009368D2"/>
    <w:rsid w:val="00940C66"/>
    <w:rsid w:val="009452E2"/>
    <w:rsid w:val="00953186"/>
    <w:rsid w:val="00953D1D"/>
    <w:rsid w:val="00962ECF"/>
    <w:rsid w:val="0096699C"/>
    <w:rsid w:val="00973590"/>
    <w:rsid w:val="009825BD"/>
    <w:rsid w:val="009A1476"/>
    <w:rsid w:val="009A4D34"/>
    <w:rsid w:val="009A5373"/>
    <w:rsid w:val="009A6E07"/>
    <w:rsid w:val="009B44AB"/>
    <w:rsid w:val="009C31E7"/>
    <w:rsid w:val="009C5B4F"/>
    <w:rsid w:val="009D36A2"/>
    <w:rsid w:val="009D54F9"/>
    <w:rsid w:val="009D56AD"/>
    <w:rsid w:val="009E185E"/>
    <w:rsid w:val="009F2741"/>
    <w:rsid w:val="009F728C"/>
    <w:rsid w:val="00A01B39"/>
    <w:rsid w:val="00A07858"/>
    <w:rsid w:val="00A27AB0"/>
    <w:rsid w:val="00A32EC7"/>
    <w:rsid w:val="00A37E41"/>
    <w:rsid w:val="00A37FCB"/>
    <w:rsid w:val="00A4161A"/>
    <w:rsid w:val="00A54AAC"/>
    <w:rsid w:val="00A56B89"/>
    <w:rsid w:val="00A6224D"/>
    <w:rsid w:val="00A6392C"/>
    <w:rsid w:val="00A8236A"/>
    <w:rsid w:val="00AA20A3"/>
    <w:rsid w:val="00AB4154"/>
    <w:rsid w:val="00AB41B8"/>
    <w:rsid w:val="00AB7CAA"/>
    <w:rsid w:val="00AD193B"/>
    <w:rsid w:val="00AD221C"/>
    <w:rsid w:val="00AD6F6F"/>
    <w:rsid w:val="00AE3FC2"/>
    <w:rsid w:val="00B02B97"/>
    <w:rsid w:val="00B12F05"/>
    <w:rsid w:val="00B234D3"/>
    <w:rsid w:val="00B26CDC"/>
    <w:rsid w:val="00B27CD3"/>
    <w:rsid w:val="00B3638C"/>
    <w:rsid w:val="00B808CE"/>
    <w:rsid w:val="00B81CF9"/>
    <w:rsid w:val="00B9547F"/>
    <w:rsid w:val="00B956EE"/>
    <w:rsid w:val="00B96265"/>
    <w:rsid w:val="00BB29E0"/>
    <w:rsid w:val="00BB40E6"/>
    <w:rsid w:val="00BF5BE6"/>
    <w:rsid w:val="00C01920"/>
    <w:rsid w:val="00C03991"/>
    <w:rsid w:val="00C15C1E"/>
    <w:rsid w:val="00C17003"/>
    <w:rsid w:val="00C21CF0"/>
    <w:rsid w:val="00C3175C"/>
    <w:rsid w:val="00C345B4"/>
    <w:rsid w:val="00C606A1"/>
    <w:rsid w:val="00C74B22"/>
    <w:rsid w:val="00C7712A"/>
    <w:rsid w:val="00CA7F02"/>
    <w:rsid w:val="00CC00C2"/>
    <w:rsid w:val="00CC6BD9"/>
    <w:rsid w:val="00CD0059"/>
    <w:rsid w:val="00CD31A0"/>
    <w:rsid w:val="00CD404A"/>
    <w:rsid w:val="00CE1641"/>
    <w:rsid w:val="00CF18F2"/>
    <w:rsid w:val="00D14EC7"/>
    <w:rsid w:val="00D14F90"/>
    <w:rsid w:val="00D36E8C"/>
    <w:rsid w:val="00D44E62"/>
    <w:rsid w:val="00D571CE"/>
    <w:rsid w:val="00D60BC0"/>
    <w:rsid w:val="00D67C17"/>
    <w:rsid w:val="00DB70A1"/>
    <w:rsid w:val="00E0777F"/>
    <w:rsid w:val="00E171B7"/>
    <w:rsid w:val="00E21FCC"/>
    <w:rsid w:val="00E263D0"/>
    <w:rsid w:val="00E416FE"/>
    <w:rsid w:val="00E44901"/>
    <w:rsid w:val="00E6004A"/>
    <w:rsid w:val="00E97B6A"/>
    <w:rsid w:val="00EA78CB"/>
    <w:rsid w:val="00ED26BD"/>
    <w:rsid w:val="00ED61EC"/>
    <w:rsid w:val="00EE2D4B"/>
    <w:rsid w:val="00F04B1D"/>
    <w:rsid w:val="00F10930"/>
    <w:rsid w:val="00F158C7"/>
    <w:rsid w:val="00F221C9"/>
    <w:rsid w:val="00F25A80"/>
    <w:rsid w:val="00F46FF2"/>
    <w:rsid w:val="00F83A25"/>
    <w:rsid w:val="00F92AFD"/>
    <w:rsid w:val="00FA2E5C"/>
    <w:rsid w:val="00FC67E7"/>
    <w:rsid w:val="00FD3D96"/>
    <w:rsid w:val="00FF4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740E"/>
  <w15:docId w15:val="{D1E34CE9-6EA4-4C2F-88C8-869F9343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E5C"/>
    <w:rPr>
      <w:rFonts w:ascii="Calibri" w:eastAsia="Calibri" w:hAnsi="Calibri" w:cs="Arial"/>
      <w:kern w:val="0"/>
      <w:sz w:val="20"/>
      <w:szCs w:val="20"/>
      <w:lang w:val="en-GB"/>
    </w:rPr>
  </w:style>
  <w:style w:type="paragraph" w:styleId="Heading1">
    <w:name w:val="heading 1"/>
    <w:basedOn w:val="Normal"/>
    <w:next w:val="Normal"/>
    <w:link w:val="Heading1Char"/>
    <w:uiPriority w:val="9"/>
    <w:qFormat/>
    <w:rsid w:val="00CD005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BC0"/>
    <w:pPr>
      <w:tabs>
        <w:tab w:val="center" w:pos="4513"/>
        <w:tab w:val="right" w:pos="9026"/>
      </w:tabs>
    </w:pPr>
    <w:rPr>
      <w:rFonts w:asciiTheme="minorHAnsi" w:eastAsiaTheme="minorHAnsi" w:hAnsiTheme="minorHAnsi" w:cstheme="minorBidi"/>
      <w:kern w:val="2"/>
      <w:sz w:val="24"/>
      <w:szCs w:val="24"/>
    </w:rPr>
  </w:style>
  <w:style w:type="character" w:customStyle="1" w:styleId="HeaderChar">
    <w:name w:val="Header Char"/>
    <w:basedOn w:val="DefaultParagraphFont"/>
    <w:link w:val="Header"/>
    <w:uiPriority w:val="99"/>
    <w:rsid w:val="00D60BC0"/>
  </w:style>
  <w:style w:type="paragraph" w:styleId="Footer">
    <w:name w:val="footer"/>
    <w:basedOn w:val="Normal"/>
    <w:link w:val="FooterChar"/>
    <w:uiPriority w:val="99"/>
    <w:unhideWhenUsed/>
    <w:rsid w:val="00D60BC0"/>
    <w:pPr>
      <w:tabs>
        <w:tab w:val="center" w:pos="4513"/>
        <w:tab w:val="right" w:pos="9026"/>
      </w:tabs>
    </w:pPr>
    <w:rPr>
      <w:rFonts w:asciiTheme="minorHAnsi" w:eastAsiaTheme="minorHAnsi" w:hAnsiTheme="minorHAnsi" w:cstheme="minorBidi"/>
      <w:kern w:val="2"/>
      <w:sz w:val="24"/>
      <w:szCs w:val="24"/>
    </w:rPr>
  </w:style>
  <w:style w:type="character" w:customStyle="1" w:styleId="FooterChar">
    <w:name w:val="Footer Char"/>
    <w:basedOn w:val="DefaultParagraphFont"/>
    <w:link w:val="Footer"/>
    <w:uiPriority w:val="99"/>
    <w:rsid w:val="00D60BC0"/>
  </w:style>
  <w:style w:type="character" w:styleId="PageNumber">
    <w:name w:val="page number"/>
    <w:basedOn w:val="DefaultParagraphFont"/>
    <w:uiPriority w:val="99"/>
    <w:semiHidden/>
    <w:unhideWhenUsed/>
    <w:rsid w:val="00444530"/>
  </w:style>
  <w:style w:type="paragraph" w:styleId="Title">
    <w:name w:val="Title"/>
    <w:basedOn w:val="Normal"/>
    <w:next w:val="Normal"/>
    <w:link w:val="TitleChar"/>
    <w:uiPriority w:val="10"/>
    <w:qFormat/>
    <w:rsid w:val="00CD00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05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D00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0059"/>
    <w:rPr>
      <w:rFonts w:eastAsiaTheme="minorEastAsia"/>
      <w:color w:val="5A5A5A" w:themeColor="text1" w:themeTint="A5"/>
      <w:spacing w:val="15"/>
      <w:kern w:val="0"/>
      <w:sz w:val="22"/>
      <w:szCs w:val="22"/>
      <w:lang w:val="en-US"/>
    </w:rPr>
  </w:style>
  <w:style w:type="paragraph" w:styleId="TOC1">
    <w:name w:val="toc 1"/>
    <w:basedOn w:val="Normal"/>
    <w:next w:val="Normal"/>
    <w:autoRedefine/>
    <w:uiPriority w:val="39"/>
    <w:unhideWhenUsed/>
    <w:rsid w:val="00CD0059"/>
    <w:pPr>
      <w:spacing w:before="120" w:after="120"/>
    </w:pPr>
    <w:rPr>
      <w:rFonts w:asciiTheme="minorHAnsi" w:hAnsiTheme="minorHAnsi" w:cstheme="minorHAnsi"/>
      <w:b/>
      <w:bCs/>
      <w:caps/>
    </w:rPr>
  </w:style>
  <w:style w:type="paragraph" w:styleId="TOC2">
    <w:name w:val="toc 2"/>
    <w:basedOn w:val="Normal"/>
    <w:next w:val="Normal"/>
    <w:autoRedefine/>
    <w:uiPriority w:val="39"/>
    <w:unhideWhenUsed/>
    <w:rsid w:val="00CD0059"/>
    <w:pPr>
      <w:ind w:left="200"/>
    </w:pPr>
    <w:rPr>
      <w:rFonts w:asciiTheme="minorHAnsi" w:hAnsiTheme="minorHAnsi" w:cstheme="minorHAnsi"/>
      <w:smallCaps/>
    </w:rPr>
  </w:style>
  <w:style w:type="paragraph" w:styleId="TOC3">
    <w:name w:val="toc 3"/>
    <w:basedOn w:val="Normal"/>
    <w:next w:val="Normal"/>
    <w:autoRedefine/>
    <w:uiPriority w:val="39"/>
    <w:unhideWhenUsed/>
    <w:rsid w:val="00CD0059"/>
    <w:pPr>
      <w:ind w:left="400"/>
    </w:pPr>
    <w:rPr>
      <w:rFonts w:asciiTheme="minorHAnsi" w:hAnsiTheme="minorHAnsi" w:cstheme="minorHAnsi"/>
      <w:i/>
      <w:iCs/>
    </w:rPr>
  </w:style>
  <w:style w:type="character" w:styleId="Hyperlink">
    <w:name w:val="Hyperlink"/>
    <w:basedOn w:val="DefaultParagraphFont"/>
    <w:uiPriority w:val="99"/>
    <w:unhideWhenUsed/>
    <w:rsid w:val="00CD0059"/>
    <w:rPr>
      <w:color w:val="0563C1" w:themeColor="hyperlink"/>
      <w:u w:val="single"/>
    </w:rPr>
  </w:style>
  <w:style w:type="character" w:customStyle="1" w:styleId="Heading1Char">
    <w:name w:val="Heading 1 Char"/>
    <w:basedOn w:val="DefaultParagraphFont"/>
    <w:link w:val="Heading1"/>
    <w:uiPriority w:val="9"/>
    <w:rsid w:val="00CD0059"/>
    <w:rPr>
      <w:rFonts w:asciiTheme="majorHAnsi" w:eastAsiaTheme="majorEastAsia" w:hAnsiTheme="majorHAnsi" w:cstheme="majorBidi"/>
      <w:color w:val="2F5496" w:themeColor="accent1" w:themeShade="BF"/>
      <w:kern w:val="0"/>
      <w:sz w:val="32"/>
      <w:szCs w:val="32"/>
      <w:lang w:val="en-US"/>
    </w:rPr>
  </w:style>
  <w:style w:type="paragraph" w:styleId="TOCHeading">
    <w:name w:val="TOC Heading"/>
    <w:basedOn w:val="Heading1"/>
    <w:next w:val="Normal"/>
    <w:uiPriority w:val="39"/>
    <w:unhideWhenUsed/>
    <w:qFormat/>
    <w:rsid w:val="00CD0059"/>
    <w:pPr>
      <w:spacing w:before="480" w:line="276" w:lineRule="auto"/>
      <w:outlineLvl w:val="9"/>
    </w:pPr>
    <w:rPr>
      <w:b/>
      <w:bCs/>
      <w:sz w:val="28"/>
      <w:szCs w:val="28"/>
    </w:rPr>
  </w:style>
  <w:style w:type="paragraph" w:styleId="TOC4">
    <w:name w:val="toc 4"/>
    <w:basedOn w:val="Normal"/>
    <w:next w:val="Normal"/>
    <w:autoRedefine/>
    <w:uiPriority w:val="39"/>
    <w:semiHidden/>
    <w:unhideWhenUsed/>
    <w:rsid w:val="00CD0059"/>
    <w:pPr>
      <w:ind w:left="60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CD0059"/>
    <w:pPr>
      <w:ind w:left="80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CD0059"/>
    <w:pPr>
      <w:ind w:left="10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CD0059"/>
    <w:pPr>
      <w:ind w:left="120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CD0059"/>
    <w:pPr>
      <w:ind w:left="140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CD0059"/>
    <w:pPr>
      <w:ind w:left="1600"/>
    </w:pPr>
    <w:rPr>
      <w:rFonts w:asciiTheme="minorHAnsi" w:hAnsiTheme="minorHAnsi" w:cstheme="minorHAnsi"/>
      <w:sz w:val="18"/>
      <w:szCs w:val="18"/>
    </w:rPr>
  </w:style>
  <w:style w:type="paragraph" w:styleId="BalloonText">
    <w:name w:val="Balloon Text"/>
    <w:basedOn w:val="Normal"/>
    <w:link w:val="BalloonTextChar"/>
    <w:uiPriority w:val="99"/>
    <w:semiHidden/>
    <w:unhideWhenUsed/>
    <w:rsid w:val="00AD221C"/>
    <w:rPr>
      <w:rFonts w:ascii="Tahoma" w:hAnsi="Tahoma" w:cs="Tahoma"/>
      <w:sz w:val="16"/>
      <w:szCs w:val="16"/>
    </w:rPr>
  </w:style>
  <w:style w:type="character" w:customStyle="1" w:styleId="BalloonTextChar">
    <w:name w:val="Balloon Text Char"/>
    <w:basedOn w:val="DefaultParagraphFont"/>
    <w:link w:val="BalloonText"/>
    <w:uiPriority w:val="99"/>
    <w:semiHidden/>
    <w:rsid w:val="00AD221C"/>
    <w:rPr>
      <w:rFonts w:ascii="Tahoma" w:eastAsia="Calibri" w:hAnsi="Tahoma" w:cs="Tahoma"/>
      <w:kern w:val="0"/>
      <w:sz w:val="16"/>
      <w:szCs w:val="16"/>
    </w:rPr>
  </w:style>
  <w:style w:type="paragraph" w:styleId="NormalWeb">
    <w:name w:val="Normal (Web)"/>
    <w:basedOn w:val="Normal"/>
    <w:uiPriority w:val="99"/>
    <w:unhideWhenUsed/>
    <w:rsid w:val="00AD221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A1769"/>
    <w:pPr>
      <w:ind w:left="720"/>
      <w:contextualSpacing/>
    </w:pPr>
  </w:style>
  <w:style w:type="character" w:styleId="CommentReference">
    <w:name w:val="annotation reference"/>
    <w:basedOn w:val="DefaultParagraphFont"/>
    <w:uiPriority w:val="99"/>
    <w:semiHidden/>
    <w:unhideWhenUsed/>
    <w:rsid w:val="001202E6"/>
    <w:rPr>
      <w:sz w:val="16"/>
      <w:szCs w:val="16"/>
    </w:rPr>
  </w:style>
  <w:style w:type="paragraph" w:styleId="CommentText">
    <w:name w:val="annotation text"/>
    <w:basedOn w:val="Normal"/>
    <w:link w:val="CommentTextChar"/>
    <w:uiPriority w:val="99"/>
    <w:semiHidden/>
    <w:unhideWhenUsed/>
    <w:rsid w:val="001202E6"/>
  </w:style>
  <w:style w:type="character" w:customStyle="1" w:styleId="CommentTextChar">
    <w:name w:val="Comment Text Char"/>
    <w:basedOn w:val="DefaultParagraphFont"/>
    <w:link w:val="CommentText"/>
    <w:uiPriority w:val="99"/>
    <w:semiHidden/>
    <w:rsid w:val="001202E6"/>
    <w:rPr>
      <w:rFonts w:ascii="Calibri" w:eastAsia="Calibri" w:hAnsi="Calibri" w:cs="Arial"/>
      <w:kern w:val="0"/>
      <w:sz w:val="20"/>
      <w:szCs w:val="20"/>
      <w:lang w:val="en-GB"/>
    </w:rPr>
  </w:style>
  <w:style w:type="paragraph" w:styleId="CommentSubject">
    <w:name w:val="annotation subject"/>
    <w:basedOn w:val="CommentText"/>
    <w:next w:val="CommentText"/>
    <w:link w:val="CommentSubjectChar"/>
    <w:uiPriority w:val="99"/>
    <w:semiHidden/>
    <w:unhideWhenUsed/>
    <w:rsid w:val="001202E6"/>
    <w:rPr>
      <w:b/>
      <w:bCs/>
    </w:rPr>
  </w:style>
  <w:style w:type="character" w:customStyle="1" w:styleId="CommentSubjectChar">
    <w:name w:val="Comment Subject Char"/>
    <w:basedOn w:val="CommentTextChar"/>
    <w:link w:val="CommentSubject"/>
    <w:uiPriority w:val="99"/>
    <w:semiHidden/>
    <w:rsid w:val="001202E6"/>
    <w:rPr>
      <w:rFonts w:ascii="Calibri" w:eastAsia="Calibri" w:hAnsi="Calibri" w:cs="Arial"/>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1328">
      <w:bodyDiv w:val="1"/>
      <w:marLeft w:val="0"/>
      <w:marRight w:val="0"/>
      <w:marTop w:val="0"/>
      <w:marBottom w:val="0"/>
      <w:divBdr>
        <w:top w:val="none" w:sz="0" w:space="0" w:color="auto"/>
        <w:left w:val="none" w:sz="0" w:space="0" w:color="auto"/>
        <w:bottom w:val="none" w:sz="0" w:space="0" w:color="auto"/>
        <w:right w:val="none" w:sz="0" w:space="0" w:color="auto"/>
      </w:divBdr>
    </w:div>
    <w:div w:id="438108786">
      <w:bodyDiv w:val="1"/>
      <w:marLeft w:val="0"/>
      <w:marRight w:val="0"/>
      <w:marTop w:val="0"/>
      <w:marBottom w:val="0"/>
      <w:divBdr>
        <w:top w:val="none" w:sz="0" w:space="0" w:color="auto"/>
        <w:left w:val="none" w:sz="0" w:space="0" w:color="auto"/>
        <w:bottom w:val="none" w:sz="0" w:space="0" w:color="auto"/>
        <w:right w:val="none" w:sz="0" w:space="0" w:color="auto"/>
      </w:divBdr>
    </w:div>
    <w:div w:id="1178352111">
      <w:bodyDiv w:val="1"/>
      <w:marLeft w:val="0"/>
      <w:marRight w:val="0"/>
      <w:marTop w:val="0"/>
      <w:marBottom w:val="0"/>
      <w:divBdr>
        <w:top w:val="none" w:sz="0" w:space="0" w:color="auto"/>
        <w:left w:val="none" w:sz="0" w:space="0" w:color="auto"/>
        <w:bottom w:val="none" w:sz="0" w:space="0" w:color="auto"/>
        <w:right w:val="none" w:sz="0" w:space="0" w:color="auto"/>
      </w:divBdr>
    </w:div>
    <w:div w:id="1613854674">
      <w:bodyDiv w:val="1"/>
      <w:marLeft w:val="0"/>
      <w:marRight w:val="0"/>
      <w:marTop w:val="0"/>
      <w:marBottom w:val="0"/>
      <w:divBdr>
        <w:top w:val="none" w:sz="0" w:space="0" w:color="auto"/>
        <w:left w:val="none" w:sz="0" w:space="0" w:color="auto"/>
        <w:bottom w:val="none" w:sz="0" w:space="0" w:color="auto"/>
        <w:right w:val="none" w:sz="0" w:space="0" w:color="auto"/>
      </w:divBdr>
      <w:divsChild>
        <w:div w:id="334964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374756">
      <w:bodyDiv w:val="1"/>
      <w:marLeft w:val="0"/>
      <w:marRight w:val="0"/>
      <w:marTop w:val="0"/>
      <w:marBottom w:val="0"/>
      <w:divBdr>
        <w:top w:val="none" w:sz="0" w:space="0" w:color="auto"/>
        <w:left w:val="none" w:sz="0" w:space="0" w:color="auto"/>
        <w:bottom w:val="none" w:sz="0" w:space="0" w:color="auto"/>
        <w:right w:val="none" w:sz="0" w:space="0" w:color="auto"/>
      </w:divBdr>
    </w:div>
    <w:div w:id="20429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A5095-C353-49DC-85E6-AB69A647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12</Pages>
  <Words>4953</Words>
  <Characters>28235</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SOLOMON</dc:creator>
  <cp:keywords/>
  <dc:description/>
  <cp:lastModifiedBy>Jelena</cp:lastModifiedBy>
  <cp:revision>133</cp:revision>
  <cp:lastPrinted>2025-07-07T20:45:00Z</cp:lastPrinted>
  <dcterms:created xsi:type="dcterms:W3CDTF">2024-11-18T10:46:00Z</dcterms:created>
  <dcterms:modified xsi:type="dcterms:W3CDTF">2025-10-31T02:09:00Z</dcterms:modified>
</cp:coreProperties>
</file>